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947E" w14:textId="77777777" w:rsidR="009D0A43" w:rsidRPr="009D0A43" w:rsidRDefault="004D1920" w:rsidP="009D0A43">
      <w:pPr>
        <w:jc w:val="center"/>
      </w:pPr>
      <w:r>
        <w:t xml:space="preserve"> </w:t>
      </w:r>
      <w:r w:rsidR="009D0A43" w:rsidRPr="009D0A43">
        <w:t>OŚWIADCZENIE NABYWCY</w:t>
      </w:r>
    </w:p>
    <w:p w14:paraId="09CA520F" w14:textId="77777777" w:rsidR="009D0A43" w:rsidRPr="009D0A43" w:rsidRDefault="009D0A43" w:rsidP="009D0A43">
      <w:r w:rsidRPr="009D0A43">
        <w:t>dotyczące szczegółowego stosowania prekursora materiałów wybuchowych</w:t>
      </w:r>
      <w:r>
        <w:t xml:space="preserve"> podlegającego ograniczeniom, o</w:t>
      </w:r>
      <w:r w:rsidR="001763CE">
        <w:t xml:space="preserve"> </w:t>
      </w:r>
      <w:r w:rsidRPr="009D0A43">
        <w:t>którym</w:t>
      </w:r>
      <w:r>
        <w:t xml:space="preserve"> </w:t>
      </w:r>
      <w:r w:rsidRPr="009D0A43">
        <w:t>mowa w rozporządzeniu Parlamentu Europe</w:t>
      </w:r>
      <w:r>
        <w:t>jskiego i Rady (UE) 2019/1148 (</w:t>
      </w:r>
      <w:r w:rsidRPr="009D0A43">
        <w:rPr>
          <w:vertAlign w:val="superscript"/>
        </w:rPr>
        <w:t>1</w:t>
      </w:r>
      <w:r w:rsidRPr="009D0A43">
        <w:t>)</w:t>
      </w:r>
    </w:p>
    <w:p w14:paraId="31BACA57" w14:textId="77777777" w:rsidR="009D0A43" w:rsidRPr="009D0A43" w:rsidRDefault="009D0A43" w:rsidP="009D0A43">
      <w:r w:rsidRPr="009D0A43">
        <w:t>(</w:t>
      </w:r>
      <w:r w:rsidRPr="00AC582B">
        <w:rPr>
          <w:i/>
        </w:rPr>
        <w:t>proszę wy</w:t>
      </w:r>
      <w:r w:rsidR="001763CE" w:rsidRPr="00AC582B">
        <w:rPr>
          <w:i/>
        </w:rPr>
        <w:t>pełnić drukowanymi literami</w:t>
      </w:r>
      <w:r w:rsidR="001763CE">
        <w:t>)</w:t>
      </w:r>
    </w:p>
    <w:p w14:paraId="65F12A9E" w14:textId="77777777" w:rsidR="009D0A43" w:rsidRPr="009D0A43" w:rsidRDefault="009D0A43" w:rsidP="00782EBF">
      <w:r w:rsidRPr="009D0A43">
        <w:t>Niżej podpisany</w:t>
      </w:r>
    </w:p>
    <w:p w14:paraId="6FFCE662" w14:textId="77777777" w:rsidR="009D0A43" w:rsidRPr="009D0A43" w:rsidRDefault="009D0A43" w:rsidP="00782EBF">
      <w:r w:rsidRPr="009D0A43">
        <w:t>Imię i nazwisko (nabywca</w:t>
      </w:r>
      <w:r w:rsidR="00782EBF">
        <w:t xml:space="preserve"> lub upoważniony przedstawiciel nabywcy</w:t>
      </w:r>
      <w:r w:rsidRPr="009D0A43">
        <w:t xml:space="preserve">): </w:t>
      </w:r>
      <w:r w:rsidR="00782EBF">
        <w:t>_________</w:t>
      </w:r>
      <w:r w:rsidRPr="009D0A43">
        <w:t>__________________</w:t>
      </w:r>
      <w:r w:rsidR="001763CE">
        <w:t>________</w:t>
      </w:r>
    </w:p>
    <w:p w14:paraId="541F2886" w14:textId="77777777" w:rsidR="00782EBF" w:rsidRPr="009D0A43" w:rsidRDefault="00782EBF" w:rsidP="00782EBF">
      <w:r w:rsidRPr="009D0A43">
        <w:t>Dowód tożsamości (numer, organ wydający): _______________________________________________</w:t>
      </w:r>
      <w:r>
        <w:t>________</w:t>
      </w:r>
    </w:p>
    <w:p w14:paraId="4A627E50" w14:textId="6D194B30" w:rsidR="009D0A43" w:rsidRPr="009D0A43" w:rsidRDefault="009D0A43" w:rsidP="00782EBF">
      <w:r w:rsidRPr="009D0A43">
        <w:t>Przedsiębiorstwo (główne): ______________________________________________________________</w:t>
      </w:r>
      <w:r w:rsidR="001763CE">
        <w:t>________</w:t>
      </w:r>
    </w:p>
    <w:p w14:paraId="3F94908A" w14:textId="77777777" w:rsidR="009D0A43" w:rsidRPr="009D0A43" w:rsidRDefault="009D0A43" w:rsidP="00782EBF">
      <w:r w:rsidRPr="009D0A43">
        <w:t>Numer identyfikacyjny VAT lub inny numer r</w:t>
      </w:r>
      <w:r w:rsidR="001763CE">
        <w:t>ejestracyjny przedsiębiorstwa (</w:t>
      </w:r>
      <w:r w:rsidRPr="009D0A43">
        <w:t>*)/Adres:</w:t>
      </w:r>
    </w:p>
    <w:p w14:paraId="4179D0EE" w14:textId="77777777" w:rsidR="009D0A43" w:rsidRPr="009D0A43" w:rsidRDefault="009D0A43" w:rsidP="00782EBF">
      <w:r w:rsidRPr="009D0A43">
        <w:t>_____________________________________________________________________________________</w:t>
      </w:r>
      <w:r w:rsidR="001763CE">
        <w:t>_______</w:t>
      </w:r>
    </w:p>
    <w:p w14:paraId="79510948" w14:textId="77777777" w:rsidR="009D0A43" w:rsidRDefault="009D0A43" w:rsidP="00782EBF">
      <w:r w:rsidRPr="009D0A43">
        <w:t>Rodzaj działalności handlowej/gospodarczej/zawodowej: _______________________________________</w:t>
      </w:r>
      <w:r w:rsidR="001763CE">
        <w:t>_______</w:t>
      </w:r>
    </w:p>
    <w:p w14:paraId="34DE12A8" w14:textId="77777777" w:rsidR="000C0FA0" w:rsidRPr="009D0A43" w:rsidRDefault="00B24728" w:rsidP="00B24728">
      <w:pPr>
        <w:spacing w:after="0"/>
      </w:pPr>
      <w:r>
        <w:t>Z poniższej tabeli wykreślić niepotrzeb</w:t>
      </w:r>
      <w:r w:rsidR="00165789">
        <w:t>n</w:t>
      </w:r>
      <w:r>
        <w:t>e:</w:t>
      </w:r>
    </w:p>
    <w:tbl>
      <w:tblPr>
        <w:tblStyle w:val="Tabela-Siatka"/>
        <w:tblW w:w="10632" w:type="dxa"/>
        <w:tblInd w:w="-5" w:type="dxa"/>
        <w:tblLook w:val="04A0" w:firstRow="1" w:lastRow="0" w:firstColumn="1" w:lastColumn="0" w:noHBand="0" w:noVBand="1"/>
      </w:tblPr>
      <w:tblGrid>
        <w:gridCol w:w="2127"/>
        <w:gridCol w:w="1696"/>
        <w:gridCol w:w="1417"/>
        <w:gridCol w:w="997"/>
        <w:gridCol w:w="993"/>
        <w:gridCol w:w="3402"/>
      </w:tblGrid>
      <w:tr w:rsidR="00D108A4" w14:paraId="0ABE890E" w14:textId="77777777" w:rsidTr="00D108A4">
        <w:trPr>
          <w:trHeight w:val="922"/>
        </w:trPr>
        <w:tc>
          <w:tcPr>
            <w:tcW w:w="2127" w:type="dxa"/>
            <w:vMerge w:val="restart"/>
            <w:vAlign w:val="center"/>
          </w:tcPr>
          <w:p w14:paraId="467E887A" w14:textId="77777777" w:rsidR="00D108A4" w:rsidRDefault="00D108A4" w:rsidP="009D0A43">
            <w:pPr>
              <w:spacing w:line="259" w:lineRule="auto"/>
              <w:jc w:val="center"/>
            </w:pPr>
            <w:r w:rsidRPr="009D0A43">
              <w:t>Nazwa handlowa produktu</w:t>
            </w:r>
          </w:p>
        </w:tc>
        <w:tc>
          <w:tcPr>
            <w:tcW w:w="1696" w:type="dxa"/>
            <w:vMerge w:val="restart"/>
            <w:vAlign w:val="center"/>
          </w:tcPr>
          <w:p w14:paraId="7F469B2A" w14:textId="77777777" w:rsidR="00D108A4" w:rsidRDefault="00D108A4" w:rsidP="009D0A43">
            <w:pPr>
              <w:spacing w:line="259" w:lineRule="auto"/>
              <w:jc w:val="center"/>
            </w:pPr>
            <w:r w:rsidRPr="009D0A43">
              <w:t>Prekursor materiałów</w:t>
            </w:r>
            <w:r>
              <w:t xml:space="preserve"> </w:t>
            </w:r>
            <w:r w:rsidRPr="009D0A43">
              <w:t>wybuchowych</w:t>
            </w:r>
            <w:r>
              <w:t xml:space="preserve"> </w:t>
            </w:r>
            <w:r w:rsidRPr="009D0A43">
              <w:t>podlegający</w:t>
            </w:r>
            <w:r>
              <w:t xml:space="preserve"> </w:t>
            </w:r>
            <w:r w:rsidRPr="009D0A43">
              <w:t>ograniczeniom</w:t>
            </w:r>
          </w:p>
        </w:tc>
        <w:tc>
          <w:tcPr>
            <w:tcW w:w="1417" w:type="dxa"/>
            <w:vMerge w:val="restart"/>
            <w:vAlign w:val="center"/>
          </w:tcPr>
          <w:p w14:paraId="52BB9B35" w14:textId="77777777" w:rsidR="00D108A4" w:rsidRDefault="00D108A4" w:rsidP="009D0A43">
            <w:pPr>
              <w:jc w:val="center"/>
            </w:pPr>
            <w:r w:rsidRPr="009D0A43">
              <w:t>Numer CAS</w:t>
            </w:r>
          </w:p>
        </w:tc>
        <w:tc>
          <w:tcPr>
            <w:tcW w:w="997" w:type="dxa"/>
            <w:vAlign w:val="center"/>
          </w:tcPr>
          <w:p w14:paraId="023E3153" w14:textId="77777777" w:rsidR="00D108A4" w:rsidRDefault="00D108A4" w:rsidP="00D108A4">
            <w:pPr>
              <w:jc w:val="center"/>
            </w:pPr>
            <w:r w:rsidRPr="009D0A43">
              <w:t>Ilość (kg/l)</w:t>
            </w:r>
          </w:p>
        </w:tc>
        <w:tc>
          <w:tcPr>
            <w:tcW w:w="993" w:type="dxa"/>
            <w:vAlign w:val="center"/>
          </w:tcPr>
          <w:p w14:paraId="26F6F44D" w14:textId="77777777" w:rsidR="00D108A4" w:rsidRDefault="00D108A4" w:rsidP="009D0A43">
            <w:pPr>
              <w:jc w:val="center"/>
            </w:pPr>
            <w:r w:rsidRPr="009D0A43">
              <w:t>Stężenie</w:t>
            </w:r>
          </w:p>
          <w:p w14:paraId="6B06FBD3" w14:textId="77777777" w:rsidR="00D108A4" w:rsidRDefault="00D108A4" w:rsidP="009D0A43">
            <w:pPr>
              <w:jc w:val="center"/>
            </w:pPr>
            <w:r>
              <w:t>(w/w)</w:t>
            </w:r>
          </w:p>
        </w:tc>
        <w:tc>
          <w:tcPr>
            <w:tcW w:w="3402" w:type="dxa"/>
            <w:vMerge w:val="restart"/>
            <w:vAlign w:val="center"/>
          </w:tcPr>
          <w:p w14:paraId="05F7B3EF" w14:textId="77777777" w:rsidR="00D108A4" w:rsidRDefault="00D108A4" w:rsidP="00B24728">
            <w:pPr>
              <w:spacing w:line="259" w:lineRule="auto"/>
              <w:jc w:val="center"/>
            </w:pPr>
            <w:r w:rsidRPr="009D0A43">
              <w:t>Zamierzone stosowanie</w:t>
            </w:r>
          </w:p>
        </w:tc>
      </w:tr>
      <w:tr w:rsidR="00D108A4" w14:paraId="34BF61C9" w14:textId="77777777" w:rsidTr="001453E1">
        <w:tc>
          <w:tcPr>
            <w:tcW w:w="2127" w:type="dxa"/>
            <w:vMerge/>
            <w:vAlign w:val="center"/>
          </w:tcPr>
          <w:p w14:paraId="4A9C9E86" w14:textId="77777777" w:rsidR="00D108A4" w:rsidRPr="009D0A43" w:rsidRDefault="00D108A4" w:rsidP="009D0A43">
            <w:pPr>
              <w:jc w:val="center"/>
            </w:pPr>
          </w:p>
        </w:tc>
        <w:tc>
          <w:tcPr>
            <w:tcW w:w="1696" w:type="dxa"/>
            <w:vMerge/>
            <w:vAlign w:val="center"/>
          </w:tcPr>
          <w:p w14:paraId="757A5C9C" w14:textId="77777777" w:rsidR="00D108A4" w:rsidRPr="009D0A43" w:rsidRDefault="00D108A4" w:rsidP="009D0A43">
            <w:pPr>
              <w:jc w:val="center"/>
            </w:pPr>
          </w:p>
        </w:tc>
        <w:tc>
          <w:tcPr>
            <w:tcW w:w="1417" w:type="dxa"/>
            <w:vMerge/>
            <w:vAlign w:val="center"/>
          </w:tcPr>
          <w:p w14:paraId="723FB605" w14:textId="77777777" w:rsidR="00D108A4" w:rsidRPr="009D0A43" w:rsidRDefault="00D108A4" w:rsidP="009D0A43">
            <w:pPr>
              <w:jc w:val="center"/>
            </w:pPr>
          </w:p>
        </w:tc>
        <w:tc>
          <w:tcPr>
            <w:tcW w:w="1990" w:type="dxa"/>
            <w:gridSpan w:val="2"/>
            <w:vAlign w:val="center"/>
          </w:tcPr>
          <w:p w14:paraId="1136C6A5" w14:textId="77777777" w:rsidR="00D108A4" w:rsidRPr="009D0A43" w:rsidRDefault="00D108A4" w:rsidP="009D0A43">
            <w:pPr>
              <w:jc w:val="center"/>
            </w:pPr>
            <w:r>
              <w:t>w</w:t>
            </w:r>
            <w:r w:rsidR="00EB0DBD">
              <w:t>artości</w:t>
            </w:r>
            <w:r>
              <w:t xml:space="preserve"> </w:t>
            </w:r>
            <w:r w:rsidR="00EB0DBD">
              <w:t>uśrednione</w:t>
            </w:r>
          </w:p>
        </w:tc>
        <w:tc>
          <w:tcPr>
            <w:tcW w:w="3402" w:type="dxa"/>
            <w:vMerge/>
            <w:vAlign w:val="center"/>
          </w:tcPr>
          <w:p w14:paraId="7D6F5FE9" w14:textId="77777777" w:rsidR="00D108A4" w:rsidRPr="009D0A43" w:rsidRDefault="00D108A4" w:rsidP="00B24728">
            <w:pPr>
              <w:jc w:val="center"/>
            </w:pPr>
          </w:p>
        </w:tc>
      </w:tr>
      <w:tr w:rsidR="00B24728" w14:paraId="20EAA0FE" w14:textId="77777777" w:rsidTr="008B2304">
        <w:tc>
          <w:tcPr>
            <w:tcW w:w="2127" w:type="dxa"/>
            <w:vAlign w:val="center"/>
          </w:tcPr>
          <w:p w14:paraId="2D17247A" w14:textId="77777777" w:rsidR="00B24728" w:rsidRPr="009D0A43" w:rsidRDefault="00B24728" w:rsidP="009D0A43">
            <w:pPr>
              <w:jc w:val="center"/>
            </w:pPr>
            <w:bookmarkStart w:id="0" w:name="_Hlk64979038"/>
            <w:proofErr w:type="spellStart"/>
            <w:r>
              <w:t>Aldekol</w:t>
            </w:r>
            <w:proofErr w:type="spellEnd"/>
            <w:r>
              <w:t xml:space="preserve"> Des </w:t>
            </w:r>
            <w:proofErr w:type="spellStart"/>
            <w:r>
              <w:t>Aktiv</w:t>
            </w:r>
            <w:proofErr w:type="spellEnd"/>
          </w:p>
        </w:tc>
        <w:tc>
          <w:tcPr>
            <w:tcW w:w="1696" w:type="dxa"/>
            <w:vAlign w:val="center"/>
          </w:tcPr>
          <w:p w14:paraId="6BDF2898" w14:textId="77777777" w:rsidR="00B24728" w:rsidRPr="009D0A43" w:rsidRDefault="00B24728" w:rsidP="009D0A43">
            <w:pPr>
              <w:jc w:val="center"/>
            </w:pPr>
            <w:r>
              <w:t>Nadtlenek wodoru</w:t>
            </w:r>
          </w:p>
        </w:tc>
        <w:tc>
          <w:tcPr>
            <w:tcW w:w="1417" w:type="dxa"/>
            <w:vAlign w:val="center"/>
          </w:tcPr>
          <w:p w14:paraId="6B254BF9" w14:textId="77777777" w:rsidR="00B24728" w:rsidRPr="009D0A43" w:rsidRDefault="00B24728" w:rsidP="009D0A43">
            <w:pPr>
              <w:jc w:val="center"/>
            </w:pPr>
            <w:r w:rsidRPr="006206E3">
              <w:t>7722-84-1</w:t>
            </w:r>
          </w:p>
        </w:tc>
        <w:tc>
          <w:tcPr>
            <w:tcW w:w="997" w:type="dxa"/>
            <w:vAlign w:val="center"/>
          </w:tcPr>
          <w:p w14:paraId="10E079EF" w14:textId="77777777" w:rsidR="00B24728" w:rsidRPr="009D0A43" w:rsidRDefault="00B24728" w:rsidP="00B24728">
            <w:pPr>
              <w:jc w:val="center"/>
            </w:pPr>
            <w:r>
              <w:t>0,4</w:t>
            </w:r>
            <w:r w:rsidR="00165789">
              <w:t>6</w:t>
            </w:r>
          </w:p>
        </w:tc>
        <w:tc>
          <w:tcPr>
            <w:tcW w:w="993" w:type="dxa"/>
            <w:vAlign w:val="center"/>
          </w:tcPr>
          <w:p w14:paraId="0EB27DA6" w14:textId="77777777" w:rsidR="00B24728" w:rsidRPr="009D0A43" w:rsidRDefault="00B24728" w:rsidP="009D0A43">
            <w:pPr>
              <w:jc w:val="center"/>
            </w:pPr>
            <w:r>
              <w:t>40%</w:t>
            </w:r>
          </w:p>
        </w:tc>
        <w:tc>
          <w:tcPr>
            <w:tcW w:w="3402" w:type="dxa"/>
            <w:vAlign w:val="center"/>
          </w:tcPr>
          <w:p w14:paraId="708B0924" w14:textId="77777777" w:rsidR="00B24728" w:rsidRPr="009D0A43" w:rsidRDefault="00B24728" w:rsidP="009D0A43">
            <w:pPr>
              <w:jc w:val="center"/>
            </w:pPr>
          </w:p>
        </w:tc>
      </w:tr>
      <w:tr w:rsidR="00917374" w14:paraId="4685AB34" w14:textId="77777777" w:rsidTr="008B2304">
        <w:tc>
          <w:tcPr>
            <w:tcW w:w="2127" w:type="dxa"/>
            <w:vAlign w:val="center"/>
          </w:tcPr>
          <w:p w14:paraId="642EEDF0" w14:textId="77777777" w:rsidR="00917374" w:rsidRDefault="00917374" w:rsidP="009D0A43">
            <w:pPr>
              <w:jc w:val="center"/>
            </w:pPr>
            <w:r>
              <w:t>Antywirusowa piana dezynfekcyjna</w:t>
            </w:r>
          </w:p>
        </w:tc>
        <w:tc>
          <w:tcPr>
            <w:tcW w:w="1696" w:type="dxa"/>
            <w:vAlign w:val="center"/>
          </w:tcPr>
          <w:p w14:paraId="776AFCD5" w14:textId="77777777" w:rsidR="00917374" w:rsidRDefault="00917374" w:rsidP="009D0A43">
            <w:pPr>
              <w:jc w:val="center"/>
            </w:pPr>
            <w:r>
              <w:t>Nadtlenek wodoru</w:t>
            </w:r>
          </w:p>
        </w:tc>
        <w:tc>
          <w:tcPr>
            <w:tcW w:w="1417" w:type="dxa"/>
            <w:vAlign w:val="center"/>
          </w:tcPr>
          <w:p w14:paraId="5E725FC1" w14:textId="77777777" w:rsidR="00917374" w:rsidRPr="006206E3" w:rsidRDefault="00917374" w:rsidP="009D0A43">
            <w:pPr>
              <w:jc w:val="center"/>
            </w:pPr>
            <w:r w:rsidRPr="006206E3">
              <w:t>7722-84-1</w:t>
            </w:r>
          </w:p>
        </w:tc>
        <w:tc>
          <w:tcPr>
            <w:tcW w:w="997" w:type="dxa"/>
            <w:vAlign w:val="center"/>
          </w:tcPr>
          <w:p w14:paraId="64D04A00" w14:textId="77777777" w:rsidR="00917374" w:rsidRDefault="00917374" w:rsidP="00B24728">
            <w:pPr>
              <w:jc w:val="center"/>
            </w:pPr>
            <w:r>
              <w:t>0,22</w:t>
            </w:r>
          </w:p>
        </w:tc>
        <w:tc>
          <w:tcPr>
            <w:tcW w:w="993" w:type="dxa"/>
            <w:vAlign w:val="center"/>
          </w:tcPr>
          <w:p w14:paraId="25B3C881" w14:textId="77777777" w:rsidR="00917374" w:rsidRDefault="00917374" w:rsidP="009D0A43">
            <w:pPr>
              <w:jc w:val="center"/>
            </w:pPr>
            <w:r>
              <w:t>20%</w:t>
            </w:r>
          </w:p>
        </w:tc>
        <w:tc>
          <w:tcPr>
            <w:tcW w:w="3402" w:type="dxa"/>
            <w:vAlign w:val="center"/>
          </w:tcPr>
          <w:p w14:paraId="7D1FC2EB" w14:textId="77777777" w:rsidR="00917374" w:rsidRPr="009D0A43" w:rsidRDefault="00917374" w:rsidP="009D0A43">
            <w:pPr>
              <w:jc w:val="center"/>
            </w:pPr>
          </w:p>
        </w:tc>
      </w:tr>
      <w:tr w:rsidR="00B24728" w14:paraId="4329314F" w14:textId="77777777" w:rsidTr="008B2304">
        <w:tc>
          <w:tcPr>
            <w:tcW w:w="2127" w:type="dxa"/>
            <w:vAlign w:val="center"/>
          </w:tcPr>
          <w:p w14:paraId="1105D138" w14:textId="77777777" w:rsidR="00B24728" w:rsidRPr="009D0A43" w:rsidRDefault="00B24728" w:rsidP="009D0A43">
            <w:pPr>
              <w:jc w:val="center"/>
            </w:pPr>
            <w:proofErr w:type="spellStart"/>
            <w:r>
              <w:t>Optim</w:t>
            </w:r>
            <w:proofErr w:type="spellEnd"/>
            <w:r>
              <w:t xml:space="preserve"> Hydro</w:t>
            </w:r>
          </w:p>
        </w:tc>
        <w:tc>
          <w:tcPr>
            <w:tcW w:w="1696" w:type="dxa"/>
            <w:vAlign w:val="center"/>
          </w:tcPr>
          <w:p w14:paraId="27381754" w14:textId="77777777" w:rsidR="00B24728" w:rsidRPr="009D0A43" w:rsidRDefault="00B24728" w:rsidP="009D0A43">
            <w:pPr>
              <w:jc w:val="center"/>
            </w:pPr>
            <w:r>
              <w:t>Nadtlenek wodoru</w:t>
            </w:r>
          </w:p>
        </w:tc>
        <w:tc>
          <w:tcPr>
            <w:tcW w:w="1417" w:type="dxa"/>
            <w:vAlign w:val="center"/>
          </w:tcPr>
          <w:p w14:paraId="2DE3BE05" w14:textId="77777777" w:rsidR="00B24728" w:rsidRPr="009D0A43" w:rsidRDefault="00B24728" w:rsidP="009D0A43">
            <w:pPr>
              <w:jc w:val="center"/>
            </w:pPr>
            <w:r w:rsidRPr="006206E3">
              <w:t>7722-84-1</w:t>
            </w:r>
          </w:p>
        </w:tc>
        <w:tc>
          <w:tcPr>
            <w:tcW w:w="997" w:type="dxa"/>
            <w:vAlign w:val="center"/>
          </w:tcPr>
          <w:p w14:paraId="14FD8AC1" w14:textId="77777777" w:rsidR="00B24728" w:rsidRPr="009D0A43" w:rsidRDefault="00B24728" w:rsidP="00413E1E">
            <w:pPr>
              <w:jc w:val="center"/>
            </w:pPr>
            <w:r>
              <w:t>0,3</w:t>
            </w:r>
            <w:r w:rsidR="00413E1E">
              <w:t>9</w:t>
            </w:r>
          </w:p>
        </w:tc>
        <w:tc>
          <w:tcPr>
            <w:tcW w:w="993" w:type="dxa"/>
            <w:vAlign w:val="center"/>
          </w:tcPr>
          <w:p w14:paraId="5DC0C5C9" w14:textId="77777777" w:rsidR="00B24728" w:rsidRPr="009D0A43" w:rsidRDefault="00B24728" w:rsidP="009D0A43">
            <w:pPr>
              <w:jc w:val="center"/>
            </w:pPr>
            <w:r>
              <w:t>35%</w:t>
            </w:r>
          </w:p>
        </w:tc>
        <w:tc>
          <w:tcPr>
            <w:tcW w:w="3402" w:type="dxa"/>
            <w:vAlign w:val="center"/>
          </w:tcPr>
          <w:p w14:paraId="47708849" w14:textId="77777777" w:rsidR="00B24728" w:rsidRPr="009D0A43" w:rsidRDefault="00B24728" w:rsidP="009D0A43">
            <w:pPr>
              <w:jc w:val="center"/>
            </w:pPr>
          </w:p>
        </w:tc>
      </w:tr>
      <w:tr w:rsidR="00B24728" w14:paraId="5046A7EB" w14:textId="77777777" w:rsidTr="008B2304">
        <w:tc>
          <w:tcPr>
            <w:tcW w:w="2127" w:type="dxa"/>
            <w:vAlign w:val="center"/>
          </w:tcPr>
          <w:p w14:paraId="1E5586E8" w14:textId="77777777" w:rsidR="00B24728" w:rsidRDefault="00B24728" w:rsidP="009D0A43">
            <w:pPr>
              <w:jc w:val="center"/>
            </w:pPr>
            <w:r>
              <w:t>Pulsar Ferma</w:t>
            </w:r>
          </w:p>
        </w:tc>
        <w:tc>
          <w:tcPr>
            <w:tcW w:w="1696" w:type="dxa"/>
            <w:vAlign w:val="center"/>
          </w:tcPr>
          <w:p w14:paraId="522538A3" w14:textId="77777777" w:rsidR="00B24728" w:rsidRPr="009D0A43" w:rsidRDefault="00B24728" w:rsidP="009D0A43">
            <w:pPr>
              <w:jc w:val="center"/>
            </w:pPr>
            <w:r>
              <w:t>Nadtlenek wodoru</w:t>
            </w:r>
          </w:p>
        </w:tc>
        <w:tc>
          <w:tcPr>
            <w:tcW w:w="1417" w:type="dxa"/>
            <w:vAlign w:val="center"/>
          </w:tcPr>
          <w:p w14:paraId="78FAB48E" w14:textId="77777777" w:rsidR="00B24728" w:rsidRPr="009D0A43" w:rsidRDefault="00B24728" w:rsidP="009D0A43">
            <w:pPr>
              <w:jc w:val="center"/>
            </w:pPr>
            <w:r w:rsidRPr="006206E3">
              <w:t>7722-84-1</w:t>
            </w:r>
          </w:p>
        </w:tc>
        <w:tc>
          <w:tcPr>
            <w:tcW w:w="997" w:type="dxa"/>
            <w:vAlign w:val="center"/>
          </w:tcPr>
          <w:p w14:paraId="44EDA8A4" w14:textId="77777777" w:rsidR="00B24728" w:rsidRPr="009D0A43" w:rsidRDefault="00BC7BB3" w:rsidP="009D0A43">
            <w:pPr>
              <w:jc w:val="center"/>
            </w:pPr>
            <w:r>
              <w:t>0,23</w:t>
            </w:r>
          </w:p>
        </w:tc>
        <w:tc>
          <w:tcPr>
            <w:tcW w:w="993" w:type="dxa"/>
            <w:vAlign w:val="center"/>
          </w:tcPr>
          <w:p w14:paraId="6C6B7B8F" w14:textId="77777777" w:rsidR="00B24728" w:rsidRPr="009D0A43" w:rsidRDefault="00BC7BB3" w:rsidP="009D0A43">
            <w:pPr>
              <w:jc w:val="center"/>
            </w:pPr>
            <w:r>
              <w:t>20%</w:t>
            </w:r>
          </w:p>
        </w:tc>
        <w:tc>
          <w:tcPr>
            <w:tcW w:w="3402" w:type="dxa"/>
            <w:vAlign w:val="center"/>
          </w:tcPr>
          <w:p w14:paraId="727010EF" w14:textId="77777777" w:rsidR="00B24728" w:rsidRPr="009D0A43" w:rsidRDefault="00B24728" w:rsidP="009D0A43">
            <w:pPr>
              <w:jc w:val="center"/>
            </w:pPr>
          </w:p>
        </w:tc>
      </w:tr>
      <w:tr w:rsidR="00B24728" w14:paraId="52A3710F" w14:textId="77777777" w:rsidTr="008B2304">
        <w:tc>
          <w:tcPr>
            <w:tcW w:w="2127" w:type="dxa"/>
            <w:vAlign w:val="center"/>
          </w:tcPr>
          <w:p w14:paraId="41A4CF64" w14:textId="77777777" w:rsidR="00B24728" w:rsidRDefault="00B24728" w:rsidP="009D0A43">
            <w:pPr>
              <w:jc w:val="center"/>
            </w:pPr>
            <w:r>
              <w:t>Pulsar Food</w:t>
            </w:r>
          </w:p>
        </w:tc>
        <w:tc>
          <w:tcPr>
            <w:tcW w:w="1696" w:type="dxa"/>
            <w:vAlign w:val="center"/>
          </w:tcPr>
          <w:p w14:paraId="6AB5142E" w14:textId="77777777" w:rsidR="00B24728" w:rsidRPr="009D0A43" w:rsidRDefault="00B24728" w:rsidP="009D0A43">
            <w:pPr>
              <w:jc w:val="center"/>
            </w:pPr>
            <w:r>
              <w:t>Nadtlenek wodoru</w:t>
            </w:r>
          </w:p>
        </w:tc>
        <w:tc>
          <w:tcPr>
            <w:tcW w:w="1417" w:type="dxa"/>
            <w:vAlign w:val="center"/>
          </w:tcPr>
          <w:p w14:paraId="3FD41548" w14:textId="77777777" w:rsidR="00B24728" w:rsidRPr="009D0A43" w:rsidRDefault="00B24728" w:rsidP="009D0A43">
            <w:pPr>
              <w:jc w:val="center"/>
            </w:pPr>
            <w:r w:rsidRPr="006206E3">
              <w:t>7722-84-1</w:t>
            </w:r>
          </w:p>
        </w:tc>
        <w:tc>
          <w:tcPr>
            <w:tcW w:w="997" w:type="dxa"/>
            <w:vAlign w:val="center"/>
          </w:tcPr>
          <w:p w14:paraId="46414C90" w14:textId="77777777" w:rsidR="00B24728" w:rsidRPr="009D0A43" w:rsidRDefault="00BC7BB3" w:rsidP="009D0A43">
            <w:pPr>
              <w:jc w:val="center"/>
            </w:pPr>
            <w:r>
              <w:t>0,22</w:t>
            </w:r>
          </w:p>
        </w:tc>
        <w:tc>
          <w:tcPr>
            <w:tcW w:w="993" w:type="dxa"/>
            <w:vAlign w:val="center"/>
          </w:tcPr>
          <w:p w14:paraId="52230F3F" w14:textId="77777777" w:rsidR="00B24728" w:rsidRPr="009D0A43" w:rsidRDefault="00BC7BB3" w:rsidP="009D0A43">
            <w:pPr>
              <w:jc w:val="center"/>
            </w:pPr>
            <w:r>
              <w:t>20%</w:t>
            </w:r>
          </w:p>
        </w:tc>
        <w:tc>
          <w:tcPr>
            <w:tcW w:w="3402" w:type="dxa"/>
            <w:vAlign w:val="center"/>
          </w:tcPr>
          <w:p w14:paraId="260CC30C" w14:textId="77777777" w:rsidR="00B24728" w:rsidRPr="009D0A43" w:rsidRDefault="00B24728" w:rsidP="009D0A43">
            <w:pPr>
              <w:jc w:val="center"/>
            </w:pPr>
          </w:p>
        </w:tc>
      </w:tr>
      <w:tr w:rsidR="00B24728" w14:paraId="5990C20C" w14:textId="77777777" w:rsidTr="008B2304">
        <w:tc>
          <w:tcPr>
            <w:tcW w:w="2127" w:type="dxa"/>
            <w:vAlign w:val="center"/>
          </w:tcPr>
          <w:p w14:paraId="63353426" w14:textId="77777777" w:rsidR="00B24728" w:rsidRPr="009D0A43" w:rsidRDefault="00B24728" w:rsidP="009D0A43">
            <w:pPr>
              <w:jc w:val="center"/>
            </w:pPr>
            <w:proofErr w:type="spellStart"/>
            <w:r>
              <w:t>Systematic</w:t>
            </w:r>
            <w:proofErr w:type="spellEnd"/>
          </w:p>
        </w:tc>
        <w:tc>
          <w:tcPr>
            <w:tcW w:w="1696" w:type="dxa"/>
            <w:vAlign w:val="center"/>
          </w:tcPr>
          <w:p w14:paraId="0B1E7EA2" w14:textId="77777777" w:rsidR="00B24728" w:rsidRPr="009D0A43" w:rsidRDefault="00B24728" w:rsidP="009D0A43">
            <w:pPr>
              <w:jc w:val="center"/>
            </w:pPr>
            <w:r>
              <w:t>Nadtlenek wodoru</w:t>
            </w:r>
          </w:p>
        </w:tc>
        <w:tc>
          <w:tcPr>
            <w:tcW w:w="1417" w:type="dxa"/>
            <w:vAlign w:val="center"/>
          </w:tcPr>
          <w:p w14:paraId="2BECC4C0" w14:textId="77777777" w:rsidR="00B24728" w:rsidRPr="009D0A43" w:rsidRDefault="00B24728" w:rsidP="009D0A43">
            <w:pPr>
              <w:jc w:val="center"/>
            </w:pPr>
            <w:r w:rsidRPr="006206E3">
              <w:t>7722-84-1</w:t>
            </w:r>
          </w:p>
        </w:tc>
        <w:tc>
          <w:tcPr>
            <w:tcW w:w="997" w:type="dxa"/>
            <w:vAlign w:val="center"/>
          </w:tcPr>
          <w:p w14:paraId="3544C08F" w14:textId="77777777" w:rsidR="00B24728" w:rsidRPr="009D0A43" w:rsidRDefault="00B24728" w:rsidP="009D0A43">
            <w:pPr>
              <w:jc w:val="center"/>
            </w:pPr>
            <w:r>
              <w:t>0,58</w:t>
            </w:r>
          </w:p>
        </w:tc>
        <w:tc>
          <w:tcPr>
            <w:tcW w:w="993" w:type="dxa"/>
            <w:vAlign w:val="center"/>
          </w:tcPr>
          <w:p w14:paraId="299BFA61" w14:textId="77777777" w:rsidR="00B24728" w:rsidRPr="009D0A43" w:rsidRDefault="00165789" w:rsidP="009D0A43">
            <w:pPr>
              <w:jc w:val="center"/>
            </w:pPr>
            <w:r>
              <w:t>4</w:t>
            </w:r>
            <w:r w:rsidR="00B24728">
              <w:t>8%</w:t>
            </w:r>
          </w:p>
        </w:tc>
        <w:tc>
          <w:tcPr>
            <w:tcW w:w="3402" w:type="dxa"/>
            <w:vAlign w:val="center"/>
          </w:tcPr>
          <w:p w14:paraId="5FE11934" w14:textId="77777777" w:rsidR="00B24728" w:rsidRPr="009D0A43" w:rsidRDefault="00B24728" w:rsidP="009D0A43">
            <w:pPr>
              <w:jc w:val="center"/>
            </w:pPr>
          </w:p>
        </w:tc>
      </w:tr>
      <w:tr w:rsidR="00B24728" w14:paraId="14FBCCDD" w14:textId="77777777" w:rsidTr="008B2304">
        <w:tc>
          <w:tcPr>
            <w:tcW w:w="2127" w:type="dxa"/>
            <w:vAlign w:val="center"/>
          </w:tcPr>
          <w:p w14:paraId="21711E41" w14:textId="77777777" w:rsidR="00B24728" w:rsidRPr="009D0A43" w:rsidRDefault="00B24728" w:rsidP="009D0A43">
            <w:pPr>
              <w:jc w:val="center"/>
            </w:pPr>
            <w:proofErr w:type="spellStart"/>
            <w:r>
              <w:t>Systemclean</w:t>
            </w:r>
            <w:proofErr w:type="spellEnd"/>
          </w:p>
        </w:tc>
        <w:tc>
          <w:tcPr>
            <w:tcW w:w="1696" w:type="dxa"/>
            <w:vAlign w:val="center"/>
          </w:tcPr>
          <w:p w14:paraId="0BA25991" w14:textId="77777777" w:rsidR="00B24728" w:rsidRPr="009D0A43" w:rsidRDefault="00B24728" w:rsidP="009D0A43">
            <w:pPr>
              <w:jc w:val="center"/>
            </w:pPr>
            <w:r>
              <w:t>Nadtlenek wodoru</w:t>
            </w:r>
          </w:p>
        </w:tc>
        <w:tc>
          <w:tcPr>
            <w:tcW w:w="1417" w:type="dxa"/>
            <w:vAlign w:val="center"/>
          </w:tcPr>
          <w:p w14:paraId="6E52BAC2" w14:textId="77777777" w:rsidR="00B24728" w:rsidRPr="009D0A43" w:rsidRDefault="00B24728" w:rsidP="009D0A43">
            <w:pPr>
              <w:jc w:val="center"/>
            </w:pPr>
            <w:r w:rsidRPr="006206E3">
              <w:t>7722-84-1</w:t>
            </w:r>
          </w:p>
        </w:tc>
        <w:tc>
          <w:tcPr>
            <w:tcW w:w="997" w:type="dxa"/>
            <w:vAlign w:val="center"/>
          </w:tcPr>
          <w:p w14:paraId="76D38F52" w14:textId="77777777" w:rsidR="00B24728" w:rsidRPr="009D0A43" w:rsidRDefault="00B24728" w:rsidP="009D0A43">
            <w:pPr>
              <w:jc w:val="center"/>
            </w:pPr>
            <w:r>
              <w:t>0,6</w:t>
            </w:r>
            <w:r w:rsidR="001B20BF">
              <w:t>0</w:t>
            </w:r>
          </w:p>
        </w:tc>
        <w:tc>
          <w:tcPr>
            <w:tcW w:w="993" w:type="dxa"/>
            <w:vAlign w:val="center"/>
          </w:tcPr>
          <w:p w14:paraId="2D2E3DE4" w14:textId="77777777" w:rsidR="00B24728" w:rsidRPr="009D0A43" w:rsidRDefault="00165789" w:rsidP="009D0A43">
            <w:pPr>
              <w:jc w:val="center"/>
            </w:pPr>
            <w:r>
              <w:t>5</w:t>
            </w:r>
            <w:r w:rsidR="00B24728">
              <w:t>0%</w:t>
            </w:r>
          </w:p>
        </w:tc>
        <w:tc>
          <w:tcPr>
            <w:tcW w:w="3402" w:type="dxa"/>
            <w:vAlign w:val="center"/>
          </w:tcPr>
          <w:p w14:paraId="62092C77" w14:textId="77777777" w:rsidR="00B24728" w:rsidRPr="009D0A43" w:rsidRDefault="00B24728" w:rsidP="009D0A43">
            <w:pPr>
              <w:jc w:val="center"/>
            </w:pPr>
          </w:p>
        </w:tc>
      </w:tr>
      <w:tr w:rsidR="005B0231" w14:paraId="50F865A3" w14:textId="77777777" w:rsidTr="004C6098">
        <w:tc>
          <w:tcPr>
            <w:tcW w:w="2127" w:type="dxa"/>
          </w:tcPr>
          <w:p w14:paraId="79B8BA8D" w14:textId="6BEE31B6" w:rsidR="005B0231" w:rsidRDefault="005B0231" w:rsidP="005B0231">
            <w:pPr>
              <w:jc w:val="center"/>
            </w:pPr>
            <w:proofErr w:type="spellStart"/>
            <w:r>
              <w:t>Belox</w:t>
            </w:r>
            <w:proofErr w:type="spellEnd"/>
            <w:r>
              <w:t xml:space="preserve"> 50</w:t>
            </w:r>
          </w:p>
        </w:tc>
        <w:tc>
          <w:tcPr>
            <w:tcW w:w="1696" w:type="dxa"/>
          </w:tcPr>
          <w:p w14:paraId="3ED9B90C" w14:textId="7C177DCA" w:rsidR="005B0231" w:rsidRDefault="005B0231" w:rsidP="005B0231">
            <w:pPr>
              <w:jc w:val="center"/>
            </w:pPr>
            <w:r w:rsidRPr="0063210C">
              <w:t>Nadtlenek wodoru</w:t>
            </w:r>
          </w:p>
        </w:tc>
        <w:tc>
          <w:tcPr>
            <w:tcW w:w="1417" w:type="dxa"/>
          </w:tcPr>
          <w:p w14:paraId="419CC4B8" w14:textId="2C41B88E" w:rsidR="005B0231" w:rsidRPr="006206E3" w:rsidRDefault="005B0231" w:rsidP="005B0231">
            <w:pPr>
              <w:jc w:val="center"/>
            </w:pPr>
            <w:r w:rsidRPr="0063210C">
              <w:t>7722-84-1</w:t>
            </w:r>
          </w:p>
        </w:tc>
        <w:tc>
          <w:tcPr>
            <w:tcW w:w="997" w:type="dxa"/>
          </w:tcPr>
          <w:p w14:paraId="3633ABFF" w14:textId="7051E80A" w:rsidR="005B0231" w:rsidRDefault="005B0231" w:rsidP="005B0231">
            <w:pPr>
              <w:jc w:val="center"/>
            </w:pPr>
            <w:r w:rsidRPr="0063210C">
              <w:t>0,60</w:t>
            </w:r>
          </w:p>
        </w:tc>
        <w:tc>
          <w:tcPr>
            <w:tcW w:w="993" w:type="dxa"/>
          </w:tcPr>
          <w:p w14:paraId="775A37B7" w14:textId="113FBA47" w:rsidR="005B0231" w:rsidRDefault="005B0231" w:rsidP="005B0231">
            <w:pPr>
              <w:jc w:val="center"/>
            </w:pPr>
            <w:r w:rsidRPr="0063210C">
              <w:t>50%</w:t>
            </w:r>
          </w:p>
        </w:tc>
        <w:tc>
          <w:tcPr>
            <w:tcW w:w="3402" w:type="dxa"/>
            <w:vAlign w:val="center"/>
          </w:tcPr>
          <w:p w14:paraId="5B185EC4" w14:textId="77777777" w:rsidR="005B0231" w:rsidRPr="009D0A43" w:rsidRDefault="005B0231" w:rsidP="005B0231">
            <w:pPr>
              <w:jc w:val="center"/>
            </w:pPr>
          </w:p>
        </w:tc>
      </w:tr>
    </w:tbl>
    <w:bookmarkEnd w:id="0"/>
    <w:p w14:paraId="1AEF08E3" w14:textId="77777777" w:rsidR="009D0A43" w:rsidRDefault="009D0A43" w:rsidP="00917374">
      <w:pPr>
        <w:spacing w:before="120" w:after="0"/>
        <w:jc w:val="both"/>
      </w:pPr>
      <w:r w:rsidRPr="009D0A43">
        <w:t>Niniejszym oświadczam, że produkt handlowy oraz zawarta w nim substancja lub mieszanina będą stosowane wyłącznie</w:t>
      </w:r>
      <w:r>
        <w:t xml:space="preserve"> </w:t>
      </w:r>
      <w:r w:rsidRPr="009D0A43">
        <w:t>we wskazanym celu, który jest zgodny z prawem oraz zostaną sprzedane lub dostarczone innemu nabywcy wyłącznie,</w:t>
      </w:r>
      <w:r>
        <w:t xml:space="preserve"> </w:t>
      </w:r>
      <w:r w:rsidRPr="009D0A43">
        <w:t>jeśli złoży on podobne oświadczenie co do zamierzonego stosowania, przy poszanowaniu ograniczeń ustanowionych</w:t>
      </w:r>
      <w:r>
        <w:t xml:space="preserve"> </w:t>
      </w:r>
      <w:r w:rsidRPr="009D0A43">
        <w:t>w rozporządzeniu (UE) 2019/1148 w odniesieniu do udostępniania przeciętnym użytkownikom.</w:t>
      </w:r>
    </w:p>
    <w:p w14:paraId="5F34B4B2" w14:textId="77777777" w:rsidR="009D0A43" w:rsidRDefault="001763CE" w:rsidP="001763CE">
      <w:pPr>
        <w:spacing w:before="360" w:after="0"/>
      </w:pPr>
      <w:r>
        <w:t>Pod</w:t>
      </w:r>
      <w:r w:rsidR="009D0A43" w:rsidRPr="009D0A43">
        <w:t>pis: _______</w:t>
      </w:r>
      <w:r w:rsidR="000C0FA0">
        <w:t>_____________________________</w:t>
      </w:r>
      <w:r w:rsidR="009D0A43" w:rsidRPr="009D0A43">
        <w:t xml:space="preserve"> Imię i nazwisko: ___________________________</w:t>
      </w:r>
      <w:r w:rsidR="000C0FA0">
        <w:t>___</w:t>
      </w:r>
      <w:r>
        <w:t>________</w:t>
      </w:r>
    </w:p>
    <w:p w14:paraId="0404EE67" w14:textId="77777777" w:rsidR="00807E60" w:rsidRDefault="009D0A43" w:rsidP="00D108A4">
      <w:pPr>
        <w:spacing w:before="480" w:after="480"/>
      </w:pPr>
      <w:r w:rsidRPr="009D0A43">
        <w:t>Stanowisko: __________________________________________ Data: _____________________________</w:t>
      </w:r>
      <w:r w:rsidR="001763CE">
        <w:t>________</w:t>
      </w:r>
    </w:p>
    <w:p w14:paraId="4C3AA1CF" w14:textId="77777777" w:rsidR="009D0A43" w:rsidRDefault="009D0A43" w:rsidP="001763CE">
      <w:pPr>
        <w:spacing w:after="0"/>
      </w:pPr>
      <w:r>
        <w:t>________</w:t>
      </w:r>
    </w:p>
    <w:p w14:paraId="005E6B7A" w14:textId="77777777" w:rsidR="009D0A43" w:rsidRPr="001763CE" w:rsidRDefault="000C0FA0" w:rsidP="000C0FA0">
      <w:pPr>
        <w:jc w:val="both"/>
        <w:rPr>
          <w:sz w:val="16"/>
        </w:rPr>
      </w:pPr>
      <w:r w:rsidRPr="001763CE">
        <w:rPr>
          <w:sz w:val="16"/>
        </w:rPr>
        <w:t>(</w:t>
      </w:r>
      <w:r w:rsidR="009D0A43" w:rsidRPr="001763CE">
        <w:rPr>
          <w:sz w:val="16"/>
          <w:vertAlign w:val="superscript"/>
        </w:rPr>
        <w:t>1</w:t>
      </w:r>
      <w:r w:rsidR="009D0A43" w:rsidRPr="001763CE">
        <w:rPr>
          <w:sz w:val="16"/>
        </w:rPr>
        <w:t>) Rozporządzenie Parlamentu Europejskiego i Rady (UE) 2019/1148 z dnia 20 czerwca 2019 r. w sprawie wprowadzania do obrotu i stosowania prekursorów materiałów wybuchowych, zmieniające rozporządzenie (WE) nr 1907/2006 i uchylające rozporządzenie</w:t>
      </w:r>
      <w:r w:rsidRPr="001763CE">
        <w:rPr>
          <w:sz w:val="16"/>
        </w:rPr>
        <w:t xml:space="preserve"> </w:t>
      </w:r>
      <w:r w:rsidR="009D0A43" w:rsidRPr="001763CE">
        <w:rPr>
          <w:sz w:val="16"/>
        </w:rPr>
        <w:t>(UE) nr 98/2013 (Dz.U. L 186 z 11.7.2019, s. 1).</w:t>
      </w:r>
    </w:p>
    <w:p w14:paraId="414DE2AA" w14:textId="63F82F1A" w:rsidR="009D0A43" w:rsidRDefault="001763CE" w:rsidP="000C0FA0">
      <w:pPr>
        <w:jc w:val="both"/>
        <w:rPr>
          <w:sz w:val="16"/>
        </w:rPr>
      </w:pPr>
      <w:r>
        <w:rPr>
          <w:sz w:val="16"/>
        </w:rPr>
        <w:t>(</w:t>
      </w:r>
      <w:r w:rsidR="009D0A43" w:rsidRPr="001763CE">
        <w:rPr>
          <w:sz w:val="16"/>
        </w:rPr>
        <w:t>*) Ważność numeru identyfikacyjnego VAT podmiotu gospodarczego można sprawdzić za pomocą portalu Komisji VIES. W zależności</w:t>
      </w:r>
      <w:r w:rsidR="000C0FA0" w:rsidRPr="001763CE">
        <w:rPr>
          <w:sz w:val="16"/>
        </w:rPr>
        <w:t xml:space="preserve"> </w:t>
      </w:r>
      <w:r w:rsidR="009D0A43" w:rsidRPr="001763CE">
        <w:rPr>
          <w:sz w:val="16"/>
        </w:rPr>
        <w:t>od krajowych przepisów w dziedzinie ochrony danych niektóre państwa członkowskie udostępniają również nazwę i adres powiązane</w:t>
      </w:r>
      <w:r w:rsidR="000C0FA0" w:rsidRPr="001763CE">
        <w:rPr>
          <w:sz w:val="16"/>
        </w:rPr>
        <w:t xml:space="preserve"> </w:t>
      </w:r>
      <w:r w:rsidR="009D0A43" w:rsidRPr="001763CE">
        <w:rPr>
          <w:sz w:val="16"/>
        </w:rPr>
        <w:t>z podanym numerem identyfikacyjnym VAT, w brzmieniu zawartym w krajowych bazach danych.</w:t>
      </w:r>
    </w:p>
    <w:p w14:paraId="4333DD39" w14:textId="37BAB950" w:rsidR="001A4C3E" w:rsidRDefault="001A4C3E" w:rsidP="000C0FA0">
      <w:pPr>
        <w:jc w:val="both"/>
        <w:rPr>
          <w:sz w:val="16"/>
        </w:rPr>
      </w:pPr>
    </w:p>
    <w:p w14:paraId="1163F13B" w14:textId="422A1CA1" w:rsidR="001A4C3E" w:rsidRDefault="001A4C3E" w:rsidP="000C0FA0">
      <w:pPr>
        <w:jc w:val="both"/>
        <w:rPr>
          <w:sz w:val="16"/>
        </w:rPr>
      </w:pPr>
    </w:p>
    <w:p w14:paraId="64992F2B" w14:textId="63B366ED" w:rsidR="001A4C3E" w:rsidRDefault="001A4C3E" w:rsidP="000C0FA0">
      <w:pPr>
        <w:jc w:val="both"/>
        <w:rPr>
          <w:sz w:val="16"/>
        </w:rPr>
      </w:pPr>
    </w:p>
    <w:p w14:paraId="5FB04C53" w14:textId="56F9E016" w:rsidR="001A4C3E" w:rsidRPr="004B6CC9" w:rsidRDefault="002C065A" w:rsidP="00E873E8">
      <w:pPr>
        <w:jc w:val="both"/>
        <w:rPr>
          <w:sz w:val="20"/>
          <w:szCs w:val="20"/>
        </w:rPr>
      </w:pPr>
      <w:r w:rsidRPr="004B6CC9">
        <w:rPr>
          <w:sz w:val="20"/>
          <w:szCs w:val="20"/>
        </w:rPr>
        <w:t>Klauzula</w:t>
      </w:r>
      <w:r w:rsidR="001A4C3E" w:rsidRPr="004B6CC9">
        <w:rPr>
          <w:sz w:val="20"/>
          <w:szCs w:val="20"/>
        </w:rPr>
        <w:t xml:space="preserve"> informacyjna </w:t>
      </w:r>
    </w:p>
    <w:p w14:paraId="509A9B37" w14:textId="71E51918" w:rsidR="0091035F" w:rsidRDefault="001A4C3E" w:rsidP="00E873E8">
      <w:pPr>
        <w:spacing w:after="0"/>
        <w:jc w:val="both"/>
        <w:rPr>
          <w:sz w:val="20"/>
          <w:szCs w:val="20"/>
        </w:rPr>
      </w:pPr>
      <w:r w:rsidRPr="004B6CC9">
        <w:rPr>
          <w:sz w:val="20"/>
          <w:szCs w:val="20"/>
        </w:rPr>
        <w:t>Informujemy, że administratorem Państwa danych osobowych jest Agro-Trade Sp. z o.</w:t>
      </w:r>
      <w:r w:rsidR="0091035F">
        <w:rPr>
          <w:sz w:val="20"/>
          <w:szCs w:val="20"/>
        </w:rPr>
        <w:t xml:space="preserve"> </w:t>
      </w:r>
      <w:r w:rsidRPr="004B6CC9">
        <w:rPr>
          <w:sz w:val="20"/>
          <w:szCs w:val="20"/>
        </w:rPr>
        <w:t>o. z siedzibą w Gowarzewie,</w:t>
      </w:r>
    </w:p>
    <w:p w14:paraId="200D7AD7" w14:textId="7D00B4A9" w:rsidR="001A4C3E" w:rsidRPr="004B6CC9" w:rsidRDefault="001A4C3E" w:rsidP="00E873E8">
      <w:pPr>
        <w:jc w:val="both"/>
        <w:rPr>
          <w:sz w:val="20"/>
          <w:szCs w:val="20"/>
        </w:rPr>
      </w:pPr>
      <w:r w:rsidRPr="004B6CC9">
        <w:rPr>
          <w:sz w:val="20"/>
          <w:szCs w:val="20"/>
        </w:rPr>
        <w:t>ul. Akacjowa 3, 63-004 Tulce.</w:t>
      </w:r>
    </w:p>
    <w:p w14:paraId="65CAC3B7" w14:textId="53C9E57C" w:rsidR="001A4C3E" w:rsidRPr="004B6CC9" w:rsidRDefault="001A4C3E" w:rsidP="00E873E8">
      <w:pPr>
        <w:jc w:val="both"/>
        <w:rPr>
          <w:sz w:val="20"/>
          <w:szCs w:val="20"/>
        </w:rPr>
      </w:pPr>
      <w:r w:rsidRPr="004B6CC9">
        <w:rPr>
          <w:sz w:val="20"/>
          <w:szCs w:val="20"/>
        </w:rPr>
        <w:t>Celem gromadzenia i przetwarzania danych zawartych w formularzu jest dopełnienie obowiązku wynikającego z Rozporządzenia Parlamentu Europejskiego i Rady (UE) 2019/1148 z dnia 20 czerwca 2019 r. w sprawie wprowadzania do obrotu i stosowania prekursorów materiałów wybuchowych, zmieniające rozporządzenie (WE) nr 1907/2006 i uchylające rozporządzenie (UE) nr 98/2013 (Dz.U. L 186 z 11.7.2019, s. 1)</w:t>
      </w:r>
      <w:r w:rsidR="004B6CC9">
        <w:rPr>
          <w:sz w:val="20"/>
          <w:szCs w:val="20"/>
        </w:rPr>
        <w:t>, zwanego dalej „</w:t>
      </w:r>
      <w:r w:rsidR="004B6CC9" w:rsidRPr="004B6CC9">
        <w:rPr>
          <w:i/>
          <w:iCs/>
          <w:sz w:val="20"/>
          <w:szCs w:val="20"/>
        </w:rPr>
        <w:t>Rozporządzeniem”</w:t>
      </w:r>
      <w:r w:rsidR="004B6CC9">
        <w:rPr>
          <w:i/>
          <w:iCs/>
          <w:sz w:val="20"/>
          <w:szCs w:val="20"/>
        </w:rPr>
        <w:t>.</w:t>
      </w:r>
    </w:p>
    <w:p w14:paraId="45501116" w14:textId="022C49A3" w:rsidR="009D1B14" w:rsidRPr="004B6CC9" w:rsidRDefault="009D1B14" w:rsidP="00E873E8">
      <w:pPr>
        <w:jc w:val="both"/>
        <w:rPr>
          <w:sz w:val="20"/>
          <w:szCs w:val="20"/>
        </w:rPr>
      </w:pPr>
      <w:r w:rsidRPr="004B6CC9">
        <w:rPr>
          <w:sz w:val="20"/>
          <w:szCs w:val="20"/>
        </w:rPr>
        <w:t xml:space="preserve">W myśl rozporządzenia, Administrator danych osobowych jest zobowiązany do </w:t>
      </w:r>
      <w:r w:rsidR="001B7F41" w:rsidRPr="004B6CC9">
        <w:rPr>
          <w:sz w:val="20"/>
          <w:szCs w:val="20"/>
        </w:rPr>
        <w:t>archiwizowania</w:t>
      </w:r>
      <w:r w:rsidRPr="004B6CC9">
        <w:rPr>
          <w:sz w:val="20"/>
          <w:szCs w:val="20"/>
        </w:rPr>
        <w:t xml:space="preserve"> danych</w:t>
      </w:r>
      <w:r w:rsidR="001B7F41" w:rsidRPr="004B6CC9">
        <w:rPr>
          <w:sz w:val="20"/>
          <w:szCs w:val="20"/>
        </w:rPr>
        <w:t xml:space="preserve"> takich jak</w:t>
      </w:r>
      <w:r w:rsidRPr="004B6CC9">
        <w:rPr>
          <w:sz w:val="20"/>
          <w:szCs w:val="20"/>
        </w:rPr>
        <w:t>:</w:t>
      </w:r>
    </w:p>
    <w:p w14:paraId="1FBA56B8" w14:textId="77777777" w:rsidR="00B05442" w:rsidRPr="00B05442" w:rsidRDefault="009D1B14" w:rsidP="00E873E8">
      <w:pPr>
        <w:pStyle w:val="Akapitzlist"/>
        <w:numPr>
          <w:ilvl w:val="0"/>
          <w:numId w:val="8"/>
        </w:numPr>
        <w:jc w:val="both"/>
        <w:rPr>
          <w:sz w:val="20"/>
          <w:szCs w:val="20"/>
        </w:rPr>
      </w:pPr>
      <w:r w:rsidRPr="00B05442">
        <w:t>Imię i nazwisko (nabywca lub upoważniony przedstawiciel nabywcy)</w:t>
      </w:r>
      <w:r w:rsidR="001B7F41" w:rsidRPr="00B05442">
        <w:t>,</w:t>
      </w:r>
    </w:p>
    <w:p w14:paraId="3526A48E" w14:textId="3496FED1" w:rsidR="009D1B14" w:rsidRPr="00B05442" w:rsidRDefault="009D1B14" w:rsidP="00E873E8">
      <w:pPr>
        <w:pStyle w:val="Akapitzlist"/>
        <w:numPr>
          <w:ilvl w:val="0"/>
          <w:numId w:val="8"/>
        </w:numPr>
        <w:jc w:val="both"/>
      </w:pPr>
      <w:r w:rsidRPr="004B6CC9">
        <w:rPr>
          <w:sz w:val="20"/>
          <w:szCs w:val="20"/>
        </w:rPr>
        <w:t xml:space="preserve"> </w:t>
      </w:r>
      <w:r w:rsidR="00B05442">
        <w:t xml:space="preserve">Dowód tożsamości nabywcy lub osoby fizycznej uprawnionej do reprezentowania potencjalnego nabywcy </w:t>
      </w:r>
      <w:r w:rsidRPr="00B05442">
        <w:t>(numer, organ wydający)</w:t>
      </w:r>
      <w:r w:rsidR="001B7F41" w:rsidRPr="00B05442">
        <w:t>,</w:t>
      </w:r>
      <w:r w:rsidR="004B6CC9" w:rsidRPr="00B05442">
        <w:t xml:space="preserve"> nie pobieramy kserokopii i skanów,</w:t>
      </w:r>
    </w:p>
    <w:p w14:paraId="76980A33" w14:textId="77777777" w:rsidR="00B05442" w:rsidRDefault="00B05442" w:rsidP="00E873E8">
      <w:pPr>
        <w:pStyle w:val="Tekstkomentarza"/>
        <w:numPr>
          <w:ilvl w:val="0"/>
          <w:numId w:val="8"/>
        </w:numPr>
        <w:jc w:val="both"/>
      </w:pPr>
      <w:r>
        <w:t>Rodzaj działalności handlowej, gospodarczej lub zawodowej wraz z nazwą przedsiębiorstwa i adresem</w:t>
      </w:r>
    </w:p>
    <w:p w14:paraId="093D7B21" w14:textId="4345C731" w:rsidR="001B7F41" w:rsidRPr="004B6CC9" w:rsidRDefault="001B7F41" w:rsidP="00E873E8">
      <w:pPr>
        <w:pStyle w:val="Akapitzlist"/>
        <w:numPr>
          <w:ilvl w:val="0"/>
          <w:numId w:val="8"/>
        </w:numPr>
        <w:jc w:val="both"/>
        <w:rPr>
          <w:sz w:val="20"/>
          <w:szCs w:val="20"/>
        </w:rPr>
      </w:pPr>
      <w:r w:rsidRPr="004B6CC9">
        <w:rPr>
          <w:sz w:val="20"/>
          <w:szCs w:val="20"/>
        </w:rPr>
        <w:t>Numer identyfikacyjny VAT lub inny numer rejestracyjny przedsiębiorstwa (*)/Adres,</w:t>
      </w:r>
    </w:p>
    <w:p w14:paraId="2F3F1E8F" w14:textId="6D20D2BC" w:rsidR="001A4C3E" w:rsidRPr="004B6CC9" w:rsidRDefault="001B7F41" w:rsidP="00E873E8">
      <w:pPr>
        <w:jc w:val="both"/>
        <w:rPr>
          <w:sz w:val="20"/>
          <w:szCs w:val="20"/>
        </w:rPr>
      </w:pPr>
      <w:r w:rsidRPr="004B6CC9">
        <w:rPr>
          <w:sz w:val="20"/>
          <w:szCs w:val="20"/>
        </w:rPr>
        <w:t>w terminie nie krótszym niż 18 miesięcy od daty transakcji.</w:t>
      </w:r>
    </w:p>
    <w:p w14:paraId="72DC9A79" w14:textId="309A1860" w:rsidR="004B6CC9" w:rsidRPr="004B6CC9" w:rsidRDefault="004B6CC9" w:rsidP="00E873E8">
      <w:pPr>
        <w:jc w:val="both"/>
        <w:rPr>
          <w:sz w:val="20"/>
          <w:szCs w:val="20"/>
        </w:rPr>
      </w:pPr>
      <w:r w:rsidRPr="004B6CC9">
        <w:rPr>
          <w:sz w:val="20"/>
          <w:szCs w:val="20"/>
        </w:rPr>
        <w:t>Informujemy, że Państwa dane osobowe są przetwarzane i przechowywane sposób bezpieczny</w:t>
      </w:r>
      <w:r>
        <w:rPr>
          <w:sz w:val="20"/>
          <w:szCs w:val="20"/>
        </w:rPr>
        <w:t xml:space="preserve"> tylko na potrzeby realizacji obowiązków wynikających z </w:t>
      </w:r>
      <w:r w:rsidRPr="00B05442">
        <w:rPr>
          <w:sz w:val="20"/>
          <w:szCs w:val="20"/>
        </w:rPr>
        <w:t>Rozporządzenia</w:t>
      </w:r>
      <w:r w:rsidRPr="004B6CC9">
        <w:rPr>
          <w:sz w:val="20"/>
          <w:szCs w:val="20"/>
        </w:rPr>
        <w:t>.</w:t>
      </w:r>
      <w:r>
        <w:rPr>
          <w:sz w:val="20"/>
          <w:szCs w:val="20"/>
        </w:rPr>
        <w:t xml:space="preserve"> </w:t>
      </w:r>
      <w:r w:rsidR="00A76387">
        <w:rPr>
          <w:sz w:val="20"/>
          <w:szCs w:val="20"/>
        </w:rPr>
        <w:t>W przypadku podejrzanych transakcji dane osobowe zostaną ujawnione osobom trzecim</w:t>
      </w:r>
      <w:r w:rsidR="00B23F7C">
        <w:rPr>
          <w:sz w:val="20"/>
          <w:szCs w:val="20"/>
        </w:rPr>
        <w:t xml:space="preserve"> (organom kontrolującym, organom ścigania)</w:t>
      </w:r>
      <w:r w:rsidR="00A76387">
        <w:rPr>
          <w:sz w:val="20"/>
          <w:szCs w:val="20"/>
        </w:rPr>
        <w:t xml:space="preserve">. </w:t>
      </w:r>
    </w:p>
    <w:p w14:paraId="3B2979C1" w14:textId="547FCE35" w:rsidR="00A76387" w:rsidRPr="00F25DA2" w:rsidRDefault="00A76387" w:rsidP="00E873E8">
      <w:pPr>
        <w:suppressAutoHyphens/>
        <w:spacing w:after="0" w:line="240" w:lineRule="auto"/>
        <w:jc w:val="both"/>
        <w:rPr>
          <w:sz w:val="20"/>
          <w:szCs w:val="20"/>
        </w:rPr>
      </w:pPr>
      <w:r w:rsidRPr="00B05442">
        <w:rPr>
          <w:sz w:val="20"/>
          <w:szCs w:val="20"/>
        </w:rPr>
        <w:t xml:space="preserve"> W</w:t>
      </w:r>
      <w:r w:rsidRPr="00F25DA2">
        <w:rPr>
          <w:sz w:val="20"/>
          <w:szCs w:val="20"/>
        </w:rPr>
        <w:t>szystkie dane osobowe są przetwarzane z poszanowaniem zasad przetwarzania przewidzianych przez przepisy prawa:</w:t>
      </w:r>
    </w:p>
    <w:p w14:paraId="4130A7B2" w14:textId="1A15C977" w:rsidR="00A76387" w:rsidRPr="00F25DA2" w:rsidRDefault="00A76387" w:rsidP="00E873E8">
      <w:pPr>
        <w:pStyle w:val="Akapitzlist"/>
        <w:numPr>
          <w:ilvl w:val="0"/>
          <w:numId w:val="6"/>
        </w:numPr>
        <w:suppressAutoHyphens/>
        <w:spacing w:after="0" w:line="240" w:lineRule="auto"/>
        <w:jc w:val="both"/>
        <w:rPr>
          <w:sz w:val="20"/>
          <w:szCs w:val="20"/>
        </w:rPr>
      </w:pPr>
      <w:r w:rsidRPr="00F25DA2">
        <w:rPr>
          <w:sz w:val="20"/>
          <w:szCs w:val="20"/>
        </w:rPr>
        <w:t>w każdym wypadku występuje chociaż jedna z przewidzianych przepisami prawa podstaw do przetwarzania danych</w:t>
      </w:r>
    </w:p>
    <w:p w14:paraId="029E358E" w14:textId="1DB594E7" w:rsidR="00A76387" w:rsidRPr="00F25DA2" w:rsidRDefault="00A76387" w:rsidP="00E873E8">
      <w:pPr>
        <w:pStyle w:val="Akapitzlist"/>
        <w:numPr>
          <w:ilvl w:val="0"/>
          <w:numId w:val="6"/>
        </w:numPr>
        <w:suppressAutoHyphens/>
        <w:spacing w:after="0" w:line="240" w:lineRule="auto"/>
        <w:jc w:val="both"/>
        <w:rPr>
          <w:sz w:val="20"/>
          <w:szCs w:val="20"/>
        </w:rPr>
      </w:pPr>
      <w:r w:rsidRPr="00F25DA2">
        <w:rPr>
          <w:sz w:val="20"/>
          <w:szCs w:val="20"/>
        </w:rPr>
        <w:t>dane są przetwarzane rzetelnie i w sposób przejrzysty</w:t>
      </w:r>
    </w:p>
    <w:p w14:paraId="0A792C8E" w14:textId="511BBEDC" w:rsidR="00A76387" w:rsidRPr="00F25DA2" w:rsidRDefault="00A76387" w:rsidP="00E873E8">
      <w:pPr>
        <w:pStyle w:val="Akapitzlist"/>
        <w:numPr>
          <w:ilvl w:val="0"/>
          <w:numId w:val="6"/>
        </w:numPr>
        <w:suppressAutoHyphens/>
        <w:spacing w:after="0" w:line="240" w:lineRule="auto"/>
        <w:jc w:val="both"/>
        <w:rPr>
          <w:sz w:val="20"/>
          <w:szCs w:val="20"/>
        </w:rPr>
      </w:pPr>
      <w:r w:rsidRPr="00F25DA2">
        <w:rPr>
          <w:sz w:val="20"/>
          <w:szCs w:val="20"/>
        </w:rPr>
        <w:t>dane osobowe są zbierane w konkretnych, wyraźnych i prawnie uzasadnionych celach i nieprzetwarzane dalej w sposób niezgodny z tymi celami</w:t>
      </w:r>
    </w:p>
    <w:p w14:paraId="65AEFE41" w14:textId="359811DB" w:rsidR="00A76387" w:rsidRPr="00F25DA2" w:rsidRDefault="00A76387" w:rsidP="00E873E8">
      <w:pPr>
        <w:pStyle w:val="Akapitzlist"/>
        <w:numPr>
          <w:ilvl w:val="0"/>
          <w:numId w:val="6"/>
        </w:numPr>
        <w:suppressAutoHyphens/>
        <w:spacing w:after="0" w:line="240" w:lineRule="auto"/>
        <w:jc w:val="both"/>
        <w:rPr>
          <w:sz w:val="20"/>
          <w:szCs w:val="20"/>
        </w:rPr>
      </w:pPr>
      <w:r w:rsidRPr="00F25DA2">
        <w:rPr>
          <w:sz w:val="20"/>
          <w:szCs w:val="20"/>
        </w:rPr>
        <w:t>dane osobowe są przetwarzane jedynie w takim zakresie, jaki jest niezbędny dla osiągnięcia celu przetwarzania danych</w:t>
      </w:r>
    </w:p>
    <w:p w14:paraId="055CFD11" w14:textId="4813693B" w:rsidR="00A76387" w:rsidRPr="00F25DA2" w:rsidRDefault="00A76387" w:rsidP="00E873E8">
      <w:pPr>
        <w:pStyle w:val="Akapitzlist"/>
        <w:numPr>
          <w:ilvl w:val="0"/>
          <w:numId w:val="6"/>
        </w:numPr>
        <w:suppressAutoHyphens/>
        <w:spacing w:after="0" w:line="240" w:lineRule="auto"/>
        <w:jc w:val="both"/>
        <w:rPr>
          <w:sz w:val="20"/>
          <w:szCs w:val="20"/>
        </w:rPr>
      </w:pPr>
      <w:r w:rsidRPr="00F25DA2">
        <w:rPr>
          <w:sz w:val="20"/>
          <w:szCs w:val="20"/>
        </w:rPr>
        <w:t xml:space="preserve">dane osobowe są prawidłowe i w razie potrzeby uaktualniane </w:t>
      </w:r>
    </w:p>
    <w:p w14:paraId="5B652A39" w14:textId="5EFEB9C9" w:rsidR="00A76387" w:rsidRPr="00F25DA2" w:rsidRDefault="00A76387" w:rsidP="00E873E8">
      <w:pPr>
        <w:pStyle w:val="Akapitzlist"/>
        <w:numPr>
          <w:ilvl w:val="0"/>
          <w:numId w:val="6"/>
        </w:numPr>
        <w:suppressAutoHyphens/>
        <w:spacing w:after="0" w:line="240" w:lineRule="auto"/>
        <w:jc w:val="both"/>
        <w:rPr>
          <w:sz w:val="20"/>
          <w:szCs w:val="20"/>
        </w:rPr>
      </w:pPr>
      <w:r w:rsidRPr="00F25DA2">
        <w:rPr>
          <w:sz w:val="20"/>
          <w:szCs w:val="20"/>
        </w:rPr>
        <w:t xml:space="preserve">czas przechowywania danych jest ograniczony do okresu ich przydatności do celów, do których zostały zebrane, </w:t>
      </w:r>
    </w:p>
    <w:p w14:paraId="6AA472B2" w14:textId="63580C07" w:rsidR="00A76387" w:rsidRPr="00F25DA2" w:rsidRDefault="00A76387" w:rsidP="00E873E8">
      <w:pPr>
        <w:pStyle w:val="Akapitzlist"/>
        <w:numPr>
          <w:ilvl w:val="0"/>
          <w:numId w:val="6"/>
        </w:numPr>
        <w:suppressAutoHyphens/>
        <w:spacing w:after="0" w:line="240" w:lineRule="auto"/>
        <w:jc w:val="both"/>
        <w:rPr>
          <w:sz w:val="20"/>
          <w:szCs w:val="20"/>
        </w:rPr>
      </w:pPr>
      <w:r w:rsidRPr="00F25DA2">
        <w:rPr>
          <w:sz w:val="20"/>
          <w:szCs w:val="20"/>
        </w:rPr>
        <w:t>dane są zabezpieczone przed naruszeniami zasad ich ochrony</w:t>
      </w:r>
    </w:p>
    <w:p w14:paraId="4E39489F" w14:textId="4BF644F2" w:rsidR="001B7F41" w:rsidRPr="00B05442" w:rsidRDefault="001B7F41" w:rsidP="00E873E8">
      <w:pPr>
        <w:pStyle w:val="NormalnyWeb"/>
        <w:jc w:val="both"/>
        <w:rPr>
          <w:rFonts w:eastAsiaTheme="minorHAnsi"/>
          <w:sz w:val="20"/>
          <w:szCs w:val="20"/>
          <w:lang w:eastAsia="en-US"/>
        </w:rPr>
      </w:pPr>
      <w:r w:rsidRPr="006E1561">
        <w:rPr>
          <w:rFonts w:eastAsiaTheme="minorHAnsi"/>
          <w:sz w:val="20"/>
          <w:szCs w:val="20"/>
          <w:lang w:eastAsia="en-US"/>
        </w:rPr>
        <w:t>Jakie prawa przysługują Państwu w związku z przetwarzaniem Państwa danych osobowych?</w:t>
      </w:r>
    </w:p>
    <w:p w14:paraId="58816DC5" w14:textId="77777777" w:rsidR="004B6CC9" w:rsidRPr="00B05442" w:rsidRDefault="001B7F41" w:rsidP="00E873E8">
      <w:pPr>
        <w:pStyle w:val="NormalnyWeb"/>
        <w:numPr>
          <w:ilvl w:val="0"/>
          <w:numId w:val="4"/>
        </w:numPr>
        <w:jc w:val="both"/>
        <w:rPr>
          <w:rFonts w:eastAsiaTheme="minorHAnsi"/>
          <w:sz w:val="20"/>
          <w:szCs w:val="20"/>
          <w:lang w:eastAsia="en-US"/>
        </w:rPr>
      </w:pPr>
      <w:r w:rsidRPr="00B05442">
        <w:rPr>
          <w:rFonts w:eastAsiaTheme="minorHAnsi"/>
          <w:sz w:val="20"/>
          <w:szCs w:val="20"/>
          <w:lang w:eastAsia="en-US"/>
        </w:rPr>
        <w:t>Prawo do sprostowania danych – czyli poprawienia danych osobowych gdy są one błędne, uległy zmianie lub zdezaktualizowały się.</w:t>
      </w:r>
    </w:p>
    <w:p w14:paraId="37ECC060" w14:textId="77777777" w:rsidR="004B6CC9" w:rsidRPr="00B05442" w:rsidRDefault="001B7F41" w:rsidP="00E873E8">
      <w:pPr>
        <w:pStyle w:val="NormalnyWeb"/>
        <w:numPr>
          <w:ilvl w:val="0"/>
          <w:numId w:val="4"/>
        </w:numPr>
        <w:jc w:val="both"/>
        <w:rPr>
          <w:rFonts w:eastAsiaTheme="minorHAnsi"/>
          <w:sz w:val="20"/>
          <w:szCs w:val="20"/>
          <w:lang w:eastAsia="en-US"/>
        </w:rPr>
      </w:pPr>
      <w:r w:rsidRPr="00B05442">
        <w:rPr>
          <w:rFonts w:eastAsiaTheme="minorHAnsi"/>
          <w:sz w:val="20"/>
          <w:szCs w:val="20"/>
          <w:lang w:eastAsia="en-US"/>
        </w:rPr>
        <w:t>Prawo do częściowego lub całkowitego usunięcia danych („prawo do bycia zapomnianym”) po ustaniu stosunku umownego – czyli usunięcia danych, które są przetwarzane i ich przetwarzanie nie jest objęte prawem nadrzędnym.</w:t>
      </w:r>
    </w:p>
    <w:p w14:paraId="08A03E9C" w14:textId="77777777" w:rsidR="004B6CC9" w:rsidRPr="00B05442" w:rsidRDefault="001B7F41" w:rsidP="00E873E8">
      <w:pPr>
        <w:pStyle w:val="NormalnyWeb"/>
        <w:numPr>
          <w:ilvl w:val="0"/>
          <w:numId w:val="4"/>
        </w:numPr>
        <w:jc w:val="both"/>
        <w:rPr>
          <w:rFonts w:eastAsiaTheme="minorHAnsi"/>
          <w:sz w:val="20"/>
          <w:szCs w:val="20"/>
          <w:lang w:eastAsia="en-US"/>
        </w:rPr>
      </w:pPr>
      <w:r w:rsidRPr="00B05442">
        <w:rPr>
          <w:rFonts w:eastAsiaTheme="minorHAnsi"/>
          <w:sz w:val="20"/>
          <w:szCs w:val="20"/>
          <w:lang w:eastAsia="en-US"/>
        </w:rPr>
        <w:t>Prawo do ograniczenia przetwarzania danych – czyli ograniczenia przetwarzania danych wyłącznie do ich przechowywania (wiąże się to z brakiem możliwości realizacji zamówień).</w:t>
      </w:r>
    </w:p>
    <w:p w14:paraId="66735CE5" w14:textId="77777777" w:rsidR="004B6CC9" w:rsidRPr="00B05442" w:rsidRDefault="001B7F41" w:rsidP="00E873E8">
      <w:pPr>
        <w:pStyle w:val="NormalnyWeb"/>
        <w:numPr>
          <w:ilvl w:val="0"/>
          <w:numId w:val="4"/>
        </w:numPr>
        <w:jc w:val="both"/>
        <w:rPr>
          <w:rFonts w:eastAsiaTheme="minorHAnsi"/>
          <w:sz w:val="20"/>
          <w:szCs w:val="20"/>
          <w:lang w:eastAsia="en-US"/>
        </w:rPr>
      </w:pPr>
      <w:r w:rsidRPr="00B05442">
        <w:rPr>
          <w:rFonts w:eastAsiaTheme="minorHAnsi"/>
          <w:sz w:val="20"/>
          <w:szCs w:val="20"/>
          <w:lang w:eastAsia="en-US"/>
        </w:rPr>
        <w:t>Prawo dostępu do danych – czyli uzyskania informacji o celu i sposobie przetwarzania Państwa danych osobowych oraz kopii danych.</w:t>
      </w:r>
    </w:p>
    <w:p w14:paraId="17FF0851" w14:textId="2782F811" w:rsidR="004B6CC9" w:rsidRPr="00B05442" w:rsidRDefault="001B7F41" w:rsidP="00E873E8">
      <w:pPr>
        <w:pStyle w:val="NormalnyWeb"/>
        <w:numPr>
          <w:ilvl w:val="0"/>
          <w:numId w:val="4"/>
        </w:numPr>
        <w:jc w:val="both"/>
        <w:rPr>
          <w:rFonts w:eastAsiaTheme="minorHAnsi"/>
          <w:sz w:val="20"/>
          <w:szCs w:val="20"/>
          <w:lang w:eastAsia="en-US"/>
        </w:rPr>
      </w:pPr>
      <w:r w:rsidRPr="00B05442">
        <w:rPr>
          <w:rFonts w:eastAsiaTheme="minorHAnsi"/>
          <w:sz w:val="20"/>
          <w:szCs w:val="20"/>
          <w:lang w:eastAsia="en-US"/>
        </w:rPr>
        <w:t>Prawo do przenoszenia danych – czyli uzyskania swoich danych osobowych, które nam przekazaliście lub wskazania innego administratora, któremu powinniśmy je przekazać, o ile będzie to technicznie możliwe.</w:t>
      </w:r>
    </w:p>
    <w:p w14:paraId="58C8D841" w14:textId="18C9FD17" w:rsidR="001B7F41" w:rsidRPr="00B05442" w:rsidRDefault="001B7F41" w:rsidP="00E873E8">
      <w:pPr>
        <w:pStyle w:val="NormalnyWeb"/>
        <w:numPr>
          <w:ilvl w:val="0"/>
          <w:numId w:val="4"/>
        </w:numPr>
        <w:jc w:val="both"/>
        <w:rPr>
          <w:rFonts w:eastAsiaTheme="minorHAnsi"/>
          <w:sz w:val="20"/>
          <w:szCs w:val="20"/>
          <w:lang w:eastAsia="en-US"/>
        </w:rPr>
      </w:pPr>
      <w:r w:rsidRPr="00B05442">
        <w:rPr>
          <w:rFonts w:eastAsiaTheme="minorHAnsi"/>
          <w:sz w:val="20"/>
          <w:szCs w:val="20"/>
          <w:lang w:eastAsia="en-US"/>
        </w:rPr>
        <w:t>Prawo do sprzeciwu – mogą Państwo w dowolnym momencie wnieść sprzeciw wobec przetwarzania danych:</w:t>
      </w:r>
    </w:p>
    <w:p w14:paraId="6C6B5821" w14:textId="77777777" w:rsidR="004B6CC9" w:rsidRPr="00B05442" w:rsidRDefault="001B7F41" w:rsidP="00E873E8">
      <w:pPr>
        <w:pStyle w:val="NormalnyWeb"/>
        <w:numPr>
          <w:ilvl w:val="0"/>
          <w:numId w:val="4"/>
        </w:numPr>
        <w:jc w:val="both"/>
        <w:rPr>
          <w:rFonts w:eastAsiaTheme="minorHAnsi"/>
          <w:sz w:val="20"/>
          <w:szCs w:val="20"/>
          <w:lang w:eastAsia="en-US"/>
        </w:rPr>
      </w:pPr>
      <w:r w:rsidRPr="00B05442">
        <w:rPr>
          <w:rFonts w:eastAsiaTheme="minorHAnsi"/>
          <w:sz w:val="20"/>
          <w:szCs w:val="20"/>
          <w:lang w:eastAsia="en-US"/>
        </w:rPr>
        <w:t>W szczególnych sytuacjach, jeśli przetwarzamy je w prawnie uzasadnionym interesie lub interesie publicznym. Zaprzestaniemy przetwarzania danych w tych celach, o ile nie będą istniały inne, przeważające prawnie uzasadnione podstawy przetwarzania.</w:t>
      </w:r>
    </w:p>
    <w:p w14:paraId="2C1D111A" w14:textId="3DF49E58" w:rsidR="001B7F41" w:rsidRPr="00B05442" w:rsidRDefault="001B7F41" w:rsidP="00E873E8">
      <w:pPr>
        <w:pStyle w:val="NormalnyWeb"/>
        <w:numPr>
          <w:ilvl w:val="0"/>
          <w:numId w:val="4"/>
        </w:numPr>
        <w:jc w:val="both"/>
        <w:rPr>
          <w:rFonts w:eastAsiaTheme="minorHAnsi"/>
          <w:sz w:val="20"/>
          <w:szCs w:val="20"/>
          <w:lang w:eastAsia="en-US"/>
        </w:rPr>
      </w:pPr>
      <w:r w:rsidRPr="00B05442">
        <w:rPr>
          <w:rFonts w:eastAsiaTheme="minorHAnsi"/>
          <w:sz w:val="20"/>
          <w:szCs w:val="20"/>
          <w:lang w:eastAsia="en-US"/>
        </w:rPr>
        <w:t>Prawo do wycofania zgody – mogą Państwo w dowolnej chwili wycofać każdą zgodę, którą Państwo wyrazili. Od złożenia takiej dyspozycji nie będziemy już przetwarzać danych we wskazanym przez Państwa celu. Proszę jednak pamiętać, że do czasu wycofania zgody mamy prawo przetwarzać Państwa dane</w:t>
      </w:r>
      <w:r w:rsidR="004B6CC9" w:rsidRPr="00B05442">
        <w:rPr>
          <w:rFonts w:eastAsiaTheme="minorHAnsi"/>
          <w:sz w:val="20"/>
          <w:szCs w:val="20"/>
          <w:lang w:eastAsia="en-US"/>
        </w:rPr>
        <w:t>.</w:t>
      </w:r>
    </w:p>
    <w:p w14:paraId="3F32AE24" w14:textId="38985298" w:rsidR="00A76387" w:rsidRPr="006E1561" w:rsidRDefault="00A76387" w:rsidP="00E873E8">
      <w:pPr>
        <w:pStyle w:val="NormalnyWeb"/>
        <w:numPr>
          <w:ilvl w:val="0"/>
          <w:numId w:val="4"/>
        </w:numPr>
        <w:jc w:val="both"/>
        <w:rPr>
          <w:rFonts w:eastAsiaTheme="minorHAnsi"/>
          <w:sz w:val="20"/>
          <w:szCs w:val="20"/>
          <w:lang w:eastAsia="en-US"/>
        </w:rPr>
      </w:pPr>
      <w:r w:rsidRPr="00B05442">
        <w:rPr>
          <w:rFonts w:eastAsiaTheme="minorHAnsi"/>
          <w:sz w:val="20"/>
          <w:szCs w:val="20"/>
          <w:lang w:eastAsia="en-US"/>
        </w:rPr>
        <w:t>Mają Państwo prawo wniesienia skargi do Prezesa Urzędu Ochrony Danych Osobowych</w:t>
      </w:r>
      <w:r>
        <w:rPr>
          <w:rFonts w:eastAsiaTheme="minorHAnsi"/>
          <w:sz w:val="20"/>
          <w:szCs w:val="20"/>
          <w:lang w:eastAsia="en-US"/>
        </w:rPr>
        <w:t xml:space="preserve"> lub innego właściwego organu nadzorczego</w:t>
      </w:r>
      <w:r w:rsidRPr="006E1561">
        <w:rPr>
          <w:rFonts w:eastAsiaTheme="minorHAnsi"/>
          <w:sz w:val="20"/>
          <w:szCs w:val="20"/>
          <w:lang w:eastAsia="en-US"/>
        </w:rPr>
        <w:t>, jeśli uznacie Państwo, że przetwarzanie Państwa danych osobowych narusza przepisy prawa.</w:t>
      </w:r>
    </w:p>
    <w:p w14:paraId="02ABB1B4" w14:textId="436164EE" w:rsidR="004B6CC9" w:rsidRDefault="004B6CC9" w:rsidP="00E873E8">
      <w:pPr>
        <w:pStyle w:val="NormalnyWeb"/>
        <w:spacing w:before="0" w:beforeAutospacing="0" w:after="0" w:afterAutospacing="0"/>
        <w:jc w:val="both"/>
        <w:rPr>
          <w:rFonts w:eastAsiaTheme="minorHAnsi"/>
          <w:sz w:val="20"/>
          <w:szCs w:val="20"/>
          <w:lang w:eastAsia="en-US"/>
        </w:rPr>
      </w:pPr>
      <w:r w:rsidRPr="006E1561">
        <w:rPr>
          <w:rFonts w:eastAsiaTheme="minorHAnsi"/>
          <w:sz w:val="20"/>
          <w:szCs w:val="20"/>
          <w:lang w:eastAsia="en-US"/>
        </w:rPr>
        <w:t xml:space="preserve">Zakres tych praw oraz sytuacje kiedy można z nich korzystać, uzależnione są od przepisów prawa. </w:t>
      </w:r>
    </w:p>
    <w:p w14:paraId="36830867" w14:textId="77777777" w:rsidR="00A76387" w:rsidRPr="006E1561" w:rsidRDefault="00A76387" w:rsidP="00E873E8">
      <w:pPr>
        <w:pStyle w:val="NormalnyWeb"/>
        <w:spacing w:before="0" w:beforeAutospacing="0" w:after="0" w:afterAutospacing="0"/>
        <w:jc w:val="both"/>
        <w:rPr>
          <w:rFonts w:eastAsiaTheme="minorHAnsi"/>
          <w:sz w:val="20"/>
          <w:szCs w:val="20"/>
          <w:lang w:eastAsia="en-US"/>
        </w:rPr>
      </w:pPr>
    </w:p>
    <w:p w14:paraId="7225E3F7" w14:textId="506A3995" w:rsidR="001B7F41" w:rsidRPr="006E1561" w:rsidRDefault="001B7F41" w:rsidP="00E873E8">
      <w:pPr>
        <w:pStyle w:val="NormalnyWeb"/>
        <w:spacing w:before="0" w:beforeAutospacing="0" w:after="0" w:afterAutospacing="0"/>
        <w:jc w:val="both"/>
        <w:rPr>
          <w:rFonts w:eastAsiaTheme="minorHAnsi"/>
          <w:sz w:val="20"/>
          <w:szCs w:val="20"/>
          <w:lang w:eastAsia="en-US"/>
        </w:rPr>
      </w:pPr>
      <w:r w:rsidRPr="006E1561">
        <w:rPr>
          <w:rFonts w:eastAsiaTheme="minorHAnsi"/>
          <w:sz w:val="20"/>
          <w:szCs w:val="20"/>
          <w:lang w:eastAsia="en-US"/>
        </w:rPr>
        <w:t>Mogą Państwo realizować swoje prawa, za pośrednictwem dowolnego kanału komunikacyjnego:</w:t>
      </w:r>
    </w:p>
    <w:p w14:paraId="32A76C8C" w14:textId="6A144192" w:rsidR="001B7F41" w:rsidRPr="006E1561" w:rsidRDefault="001B7F41" w:rsidP="00E873E8">
      <w:pPr>
        <w:pStyle w:val="NormalnyWeb"/>
        <w:numPr>
          <w:ilvl w:val="0"/>
          <w:numId w:val="7"/>
        </w:numPr>
        <w:spacing w:before="0" w:beforeAutospacing="0" w:after="0" w:afterAutospacing="0"/>
        <w:jc w:val="both"/>
        <w:rPr>
          <w:rFonts w:eastAsiaTheme="minorHAnsi"/>
          <w:sz w:val="20"/>
          <w:szCs w:val="20"/>
          <w:lang w:val="en-GB" w:eastAsia="en-US"/>
        </w:rPr>
      </w:pPr>
      <w:proofErr w:type="spellStart"/>
      <w:r w:rsidRPr="006E1561">
        <w:rPr>
          <w:rFonts w:eastAsiaTheme="minorHAnsi"/>
          <w:sz w:val="20"/>
          <w:szCs w:val="20"/>
          <w:lang w:val="en-GB" w:eastAsia="en-US"/>
        </w:rPr>
        <w:t>adres</w:t>
      </w:r>
      <w:proofErr w:type="spellEnd"/>
      <w:r w:rsidRPr="006E1561">
        <w:rPr>
          <w:rFonts w:eastAsiaTheme="minorHAnsi"/>
          <w:sz w:val="20"/>
          <w:szCs w:val="20"/>
          <w:lang w:val="en-GB" w:eastAsia="en-US"/>
        </w:rPr>
        <w:t xml:space="preserve"> e-mail: </w:t>
      </w:r>
      <w:hyperlink r:id="rId6" w:history="1">
        <w:r w:rsidRPr="006E1561">
          <w:rPr>
            <w:rFonts w:eastAsiaTheme="minorHAnsi"/>
            <w:sz w:val="20"/>
            <w:szCs w:val="20"/>
            <w:lang w:val="en-GB" w:eastAsia="en-US"/>
          </w:rPr>
          <w:t>m.pawlowska@agro-trade.pl</w:t>
        </w:r>
      </w:hyperlink>
    </w:p>
    <w:p w14:paraId="5BFC0D66" w14:textId="481FDEE0" w:rsidR="001B7F41" w:rsidRPr="00B05442" w:rsidRDefault="001B7F41" w:rsidP="00E873E8">
      <w:pPr>
        <w:pStyle w:val="NormalnyWeb"/>
        <w:numPr>
          <w:ilvl w:val="0"/>
          <w:numId w:val="7"/>
        </w:numPr>
        <w:spacing w:before="0" w:beforeAutospacing="0" w:after="0" w:afterAutospacing="0"/>
        <w:jc w:val="both"/>
        <w:rPr>
          <w:rFonts w:eastAsiaTheme="minorHAnsi"/>
          <w:sz w:val="20"/>
          <w:szCs w:val="20"/>
          <w:lang w:eastAsia="en-US"/>
        </w:rPr>
      </w:pPr>
      <w:r w:rsidRPr="00B05442">
        <w:rPr>
          <w:rFonts w:eastAsiaTheme="minorHAnsi"/>
          <w:sz w:val="20"/>
          <w:szCs w:val="20"/>
          <w:lang w:eastAsia="en-US"/>
        </w:rPr>
        <w:t>adres korespondencyjny: Agro-Trade Sp. z o.o. , Gowarzewo, ul. Akacjowa 3, 63-004 Tulce.</w:t>
      </w:r>
    </w:p>
    <w:p w14:paraId="1E51D8A9" w14:textId="4B52E48F" w:rsidR="001B7F41" w:rsidRPr="00B05442" w:rsidRDefault="004B6CC9" w:rsidP="00E873E8">
      <w:pPr>
        <w:pStyle w:val="NormalnyWeb"/>
        <w:spacing w:before="0" w:beforeAutospacing="0" w:after="0" w:afterAutospacing="0"/>
        <w:jc w:val="both"/>
      </w:pPr>
      <w:r w:rsidRPr="00B05442">
        <w:rPr>
          <w:rFonts w:eastAsiaTheme="minorHAnsi"/>
          <w:sz w:val="20"/>
          <w:szCs w:val="20"/>
          <w:lang w:eastAsia="en-US"/>
        </w:rPr>
        <w:lastRenderedPageBreak/>
        <w:t>Zapewniamy Państwa, że w swoim postępowaniu kierujemy się przepisami prawa regulującymi zasady ochrony danych osobowych. Rozwiązania dotyczące ochrony danych osobowych stosowane w naszej Firmie odpowiadają najwyższym standardom bezpieczeństwa informacji.</w:t>
      </w:r>
    </w:p>
    <w:sectPr w:rsidR="001B7F41" w:rsidRPr="00B05442" w:rsidSect="00D108A4">
      <w:pgSz w:w="11906" w:h="16838"/>
      <w:pgMar w:top="709"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104"/>
    <w:multiLevelType w:val="hybridMultilevel"/>
    <w:tmpl w:val="F2321B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CC27DF"/>
    <w:multiLevelType w:val="hybridMultilevel"/>
    <w:tmpl w:val="40FC8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52CC5"/>
    <w:multiLevelType w:val="hybridMultilevel"/>
    <w:tmpl w:val="DF344F8A"/>
    <w:lvl w:ilvl="0" w:tplc="9D229C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3F457DC"/>
    <w:multiLevelType w:val="hybridMultilevel"/>
    <w:tmpl w:val="888E51D2"/>
    <w:lvl w:ilvl="0" w:tplc="0415000B">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AD5FC0"/>
    <w:multiLevelType w:val="hybridMultilevel"/>
    <w:tmpl w:val="30163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E8F6B74"/>
    <w:multiLevelType w:val="hybridMultilevel"/>
    <w:tmpl w:val="751AF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69066A0"/>
    <w:multiLevelType w:val="hybridMultilevel"/>
    <w:tmpl w:val="25F8F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5428B7"/>
    <w:multiLevelType w:val="hybridMultilevel"/>
    <w:tmpl w:val="EFC645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9008979">
    <w:abstractNumId w:val="5"/>
  </w:num>
  <w:num w:numId="2" w16cid:durableId="566188814">
    <w:abstractNumId w:val="4"/>
  </w:num>
  <w:num w:numId="3" w16cid:durableId="580915520">
    <w:abstractNumId w:val="3"/>
  </w:num>
  <w:num w:numId="4" w16cid:durableId="238447972">
    <w:abstractNumId w:val="0"/>
  </w:num>
  <w:num w:numId="5" w16cid:durableId="2134594046">
    <w:abstractNumId w:val="1"/>
  </w:num>
  <w:num w:numId="6" w16cid:durableId="303701334">
    <w:abstractNumId w:val="2"/>
  </w:num>
  <w:num w:numId="7" w16cid:durableId="1984457904">
    <w:abstractNumId w:val="7"/>
  </w:num>
  <w:num w:numId="8" w16cid:durableId="196116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43"/>
    <w:rsid w:val="000C0FA0"/>
    <w:rsid w:val="00165789"/>
    <w:rsid w:val="001763CE"/>
    <w:rsid w:val="001A4C3E"/>
    <w:rsid w:val="001B20BF"/>
    <w:rsid w:val="001B7F41"/>
    <w:rsid w:val="00243378"/>
    <w:rsid w:val="002C065A"/>
    <w:rsid w:val="00413E1E"/>
    <w:rsid w:val="004B6CC9"/>
    <w:rsid w:val="004D1920"/>
    <w:rsid w:val="005B0231"/>
    <w:rsid w:val="006206E3"/>
    <w:rsid w:val="006E1561"/>
    <w:rsid w:val="00782EBF"/>
    <w:rsid w:val="00807E60"/>
    <w:rsid w:val="008B2304"/>
    <w:rsid w:val="0091035F"/>
    <w:rsid w:val="00917374"/>
    <w:rsid w:val="009D0A43"/>
    <w:rsid w:val="009D1B14"/>
    <w:rsid w:val="00A25815"/>
    <w:rsid w:val="00A76387"/>
    <w:rsid w:val="00AC0259"/>
    <w:rsid w:val="00AC582B"/>
    <w:rsid w:val="00B05442"/>
    <w:rsid w:val="00B23F7C"/>
    <w:rsid w:val="00B24728"/>
    <w:rsid w:val="00BC7BB3"/>
    <w:rsid w:val="00C443A4"/>
    <w:rsid w:val="00D108A4"/>
    <w:rsid w:val="00E873E8"/>
    <w:rsid w:val="00EB0DBD"/>
    <w:rsid w:val="00ED181B"/>
    <w:rsid w:val="00F25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6FF5"/>
  <w15:chartTrackingRefBased/>
  <w15:docId w15:val="{202AAB04-256B-42E7-9459-5FF39941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B20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20BF"/>
    <w:rPr>
      <w:rFonts w:ascii="Segoe UI" w:hAnsi="Segoe UI" w:cs="Segoe UI"/>
      <w:sz w:val="18"/>
      <w:szCs w:val="18"/>
    </w:rPr>
  </w:style>
  <w:style w:type="paragraph" w:styleId="Akapitzlist">
    <w:name w:val="List Paragraph"/>
    <w:basedOn w:val="Normalny"/>
    <w:uiPriority w:val="34"/>
    <w:qFormat/>
    <w:rsid w:val="001B7F41"/>
    <w:pPr>
      <w:ind w:left="720"/>
      <w:contextualSpacing/>
    </w:pPr>
  </w:style>
  <w:style w:type="paragraph" w:styleId="NormalnyWeb">
    <w:name w:val="Normal (Web)"/>
    <w:basedOn w:val="Normalny"/>
    <w:uiPriority w:val="99"/>
    <w:unhideWhenUsed/>
    <w:rsid w:val="001B7F41"/>
    <w:pPr>
      <w:spacing w:before="100" w:beforeAutospacing="1" w:after="100" w:afterAutospacing="1" w:line="240" w:lineRule="auto"/>
    </w:pPr>
    <w:rPr>
      <w:rFonts w:eastAsia="Times New Roman"/>
      <w:sz w:val="24"/>
      <w:szCs w:val="24"/>
      <w:lang w:eastAsia="pl-PL"/>
    </w:rPr>
  </w:style>
  <w:style w:type="character" w:customStyle="1" w:styleId="pol-color">
    <w:name w:val="pol-color"/>
    <w:basedOn w:val="Domylnaczcionkaakapitu"/>
    <w:rsid w:val="001B7F41"/>
  </w:style>
  <w:style w:type="character" w:customStyle="1" w:styleId="more">
    <w:name w:val="more"/>
    <w:basedOn w:val="Domylnaczcionkaakapitu"/>
    <w:rsid w:val="001B7F41"/>
  </w:style>
  <w:style w:type="character" w:styleId="Hipercze">
    <w:name w:val="Hyperlink"/>
    <w:basedOn w:val="Domylnaczcionkaakapitu"/>
    <w:uiPriority w:val="99"/>
    <w:unhideWhenUsed/>
    <w:rsid w:val="001B7F41"/>
    <w:rPr>
      <w:color w:val="0000FF"/>
      <w:u w:val="single"/>
    </w:rPr>
  </w:style>
  <w:style w:type="character" w:customStyle="1" w:styleId="Nierozpoznanawzmianka1">
    <w:name w:val="Nierozpoznana wzmianka1"/>
    <w:basedOn w:val="Domylnaczcionkaakapitu"/>
    <w:uiPriority w:val="99"/>
    <w:semiHidden/>
    <w:unhideWhenUsed/>
    <w:rsid w:val="001B7F41"/>
    <w:rPr>
      <w:color w:val="605E5C"/>
      <w:shd w:val="clear" w:color="auto" w:fill="E1DFDD"/>
    </w:rPr>
  </w:style>
  <w:style w:type="character" w:styleId="Odwoaniedokomentarza">
    <w:name w:val="annotation reference"/>
    <w:basedOn w:val="Domylnaczcionkaakapitu"/>
    <w:uiPriority w:val="99"/>
    <w:semiHidden/>
    <w:unhideWhenUsed/>
    <w:rsid w:val="00A76387"/>
    <w:rPr>
      <w:sz w:val="16"/>
      <w:szCs w:val="16"/>
    </w:rPr>
  </w:style>
  <w:style w:type="paragraph" w:styleId="Tekstkomentarza">
    <w:name w:val="annotation text"/>
    <w:basedOn w:val="Normalny"/>
    <w:link w:val="TekstkomentarzaZnak"/>
    <w:uiPriority w:val="99"/>
    <w:semiHidden/>
    <w:unhideWhenUsed/>
    <w:rsid w:val="00A763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6387"/>
    <w:rPr>
      <w:sz w:val="20"/>
      <w:szCs w:val="20"/>
    </w:rPr>
  </w:style>
  <w:style w:type="paragraph" w:styleId="Tematkomentarza">
    <w:name w:val="annotation subject"/>
    <w:basedOn w:val="Tekstkomentarza"/>
    <w:next w:val="Tekstkomentarza"/>
    <w:link w:val="TematkomentarzaZnak"/>
    <w:uiPriority w:val="99"/>
    <w:semiHidden/>
    <w:unhideWhenUsed/>
    <w:rsid w:val="00A76387"/>
    <w:rPr>
      <w:b/>
      <w:bCs/>
    </w:rPr>
  </w:style>
  <w:style w:type="character" w:customStyle="1" w:styleId="TematkomentarzaZnak">
    <w:name w:val="Temat komentarza Znak"/>
    <w:basedOn w:val="TekstkomentarzaZnak"/>
    <w:link w:val="Tematkomentarza"/>
    <w:uiPriority w:val="99"/>
    <w:semiHidden/>
    <w:rsid w:val="00A76387"/>
    <w:rPr>
      <w:b/>
      <w:bCs/>
      <w:sz w:val="20"/>
      <w:szCs w:val="20"/>
    </w:rPr>
  </w:style>
  <w:style w:type="paragraph" w:styleId="Poprawka">
    <w:name w:val="Revision"/>
    <w:hidden/>
    <w:uiPriority w:val="99"/>
    <w:semiHidden/>
    <w:rsid w:val="006E1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7827">
      <w:bodyDiv w:val="1"/>
      <w:marLeft w:val="0"/>
      <w:marRight w:val="0"/>
      <w:marTop w:val="0"/>
      <w:marBottom w:val="0"/>
      <w:divBdr>
        <w:top w:val="none" w:sz="0" w:space="0" w:color="auto"/>
        <w:left w:val="none" w:sz="0" w:space="0" w:color="auto"/>
        <w:bottom w:val="none" w:sz="0" w:space="0" w:color="auto"/>
        <w:right w:val="none" w:sz="0" w:space="0" w:color="auto"/>
      </w:divBdr>
    </w:div>
    <w:div w:id="14100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awlowska@agro-trad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E0C6-3D72-4201-9E4F-C40F6746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6299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Urszula Piwońska</cp:lastModifiedBy>
  <cp:revision>2</cp:revision>
  <cp:lastPrinted>2021-01-28T08:20:00Z</cp:lastPrinted>
  <dcterms:created xsi:type="dcterms:W3CDTF">2022-12-07T11:54:00Z</dcterms:created>
  <dcterms:modified xsi:type="dcterms:W3CDTF">2022-12-07T11:54:00Z</dcterms:modified>
</cp:coreProperties>
</file>